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PDF SOLUTIONS,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000-31311</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w:t>
      </w:r>
    </w:p>
    <w:p>
      <w:pPr>
        <w:sectPr>
          <w:pgSz w:w="11900" w:h="16838" w:orient="portrait"/>
          <w:cols w:equalWidth="0" w:num="1">
            <w:col w:w="11240"/>
          </w:cols>
          <w:pgMar w:left="320" w:top="229" w:right="3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25-1701361</w:t>
      </w:r>
    </w:p>
    <w:p>
      <w:pPr>
        <w:spacing w:after="0" w:line="2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2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2858 De La Cruz Boulevard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with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280-7900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509"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tbl>
      <w:tblPr>
        <w:tblLayout w:type="fixed"/>
        <w:tblInd w:w="10" w:type="dxa"/>
        <w:tblCellMar>
          <w:top w:w="0" w:type="dxa"/>
          <w:left w:w="0" w:type="dxa"/>
          <w:bottom w:w="0" w:type="dxa"/>
          <w:right w:w="0" w:type="dxa"/>
        </w:tblCellMar>
      </w:tblPr>
      <w:tr>
        <w:trPr>
          <w:trHeight w:val="231"/>
        </w:trPr>
        <w:tc>
          <w:tcPr>
            <w:tcW w:w="4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1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$0.00015 par value</w:t>
            </w:r>
          </w:p>
        </w:tc>
        <w:tc>
          <w:tcPr>
            <w:tcW w:w="27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PDFS</w:t>
            </w:r>
          </w:p>
        </w:tc>
        <w:tc>
          <w:tcPr>
            <w:tcW w:w="44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u w:val="single" w:color="auto"/>
          <w:color w:val="auto"/>
        </w:rPr>
        <w:t>TABLE OF CONTENTS</w:t>
      </w:r>
    </w:p>
    <w:p>
      <w:pPr>
        <w:spacing w:after="0" w:line="24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u w:val="single" w:color="auto"/>
          <w:color w:val="0000EE"/>
        </w:rPr>
        <w:t>Item 5.07.</w:t>
      </w:r>
      <w:r>
        <w:rPr>
          <w:sz w:val="20"/>
          <w:szCs w:val="20"/>
          <w:color w:val="auto"/>
        </w:rPr>
        <w:tab/>
      </w:r>
      <w:r>
        <w:rPr>
          <w:rFonts w:ascii="Times New Roman" w:cs="Times New Roman" w:eastAsia="Times New Roman" w:hAnsi="Times New Roman"/>
          <w:sz w:val="17"/>
          <w:szCs w:val="17"/>
          <w:u w:val="single" w:color="auto"/>
          <w:color w:val="0000EE"/>
        </w:rPr>
        <w:t>Submission of Matters to a Vote of Security Holders.</w:t>
      </w:r>
    </w:p>
    <w:p>
      <w:pPr>
        <w:spacing w:after="0" w:line="2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u w:val="single" w:color="auto"/>
          <w:color w:val="0000EE"/>
        </w:rPr>
        <w:t>Item 9.01.</w:t>
      </w:r>
      <w:r>
        <w:rPr>
          <w:sz w:val="20"/>
          <w:szCs w:val="20"/>
          <w:color w:val="auto"/>
        </w:rPr>
        <w:tab/>
      </w:r>
      <w:r>
        <w:rPr>
          <w:rFonts w:ascii="Times New Roman" w:cs="Times New Roman" w:eastAsia="Times New Roman" w:hAnsi="Times New Roman"/>
          <w:sz w:val="17"/>
          <w:szCs w:val="17"/>
          <w:u w:val="single" w:color="auto"/>
          <w:color w:val="0000EE"/>
        </w:rPr>
        <w:t>Financial Statements and Exhibits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firstLine="378"/>
        <w:spacing w:after="0" w:line="282" w:lineRule="auto"/>
        <w:rPr>
          <w:sz w:val="20"/>
          <w:szCs w:val="20"/>
          <w:color w:val="auto"/>
        </w:rPr>
      </w:pPr>
      <w:r>
        <w:rPr>
          <w:rFonts w:ascii="Times New Roman" w:cs="Times New Roman" w:eastAsia="Times New Roman" w:hAnsi="Times New Roman"/>
          <w:sz w:val="18"/>
          <w:szCs w:val="18"/>
          <w:color w:val="auto"/>
        </w:rPr>
        <w:t>On June 16, 2026, at the 2026 Annual Meeting of Stockholders, the stockholders of the Company elected each of the director nominees and approved proposals 2, 3, 4, and 5.</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final results for the votes regarding each proposal are set forth below. The proposals are described in detail in the Company’s Proxy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 Election of Class I Directors: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6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NOMINEES FOR</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16"/>
        </w:trPr>
        <w:tc>
          <w:tcPr>
            <w:tcW w:w="2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255"/>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DIRECTORS</w:t>
            </w:r>
          </w:p>
        </w:tc>
        <w:tc>
          <w:tcPr>
            <w:tcW w:w="216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216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r>
      <w:tr>
        <w:trPr>
          <w:trHeight w:val="193"/>
        </w:trPr>
        <w:tc>
          <w:tcPr>
            <w:tcW w:w="26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Joseph R. Bronson</w:t>
            </w:r>
          </w:p>
        </w:tc>
        <w:tc>
          <w:tcPr>
            <w:tcW w:w="21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29,243,333</w:t>
            </w:r>
          </w:p>
        </w:tc>
        <w:tc>
          <w:tcPr>
            <w:tcW w:w="21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1,851,844</w:t>
            </w:r>
          </w:p>
        </w:tc>
        <w:tc>
          <w:tcPr>
            <w:tcW w:w="21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44,914</w:t>
            </w:r>
          </w:p>
        </w:tc>
        <w:tc>
          <w:tcPr>
            <w:tcW w:w="2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3,985,997</w:t>
            </w:r>
          </w:p>
        </w:tc>
      </w:tr>
      <w:tr>
        <w:trPr>
          <w:trHeight w:val="209"/>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Ye Jane Li</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29,883,557</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1,212,545</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43,989</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3,985,997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 Ratification of the appointment of BPM LLP as the Independent Registered Public Accounting Firm for the Company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December 31, 2026:</w:t>
      </w:r>
    </w:p>
    <w:p>
      <w:pPr>
        <w:spacing w:after="0" w:line="202" w:lineRule="exact"/>
        <w:rPr>
          <w:sz w:val="20"/>
          <w:szCs w:val="20"/>
          <w:color w:val="auto"/>
        </w:rPr>
      </w:pPr>
    </w:p>
    <w:tbl>
      <w:tblPr>
        <w:tblLayout w:type="fixed"/>
        <w:tblInd w:w="115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193"/>
        </w:trPr>
        <w:tc>
          <w:tcPr>
            <w:tcW w:w="2880" w:type="dxa"/>
            <w:vAlign w:val="bottom"/>
            <w:tcBorders>
              <w:bottom w:val="single" w:sz="8" w:color="auto"/>
              <w:right w:val="single" w:sz="8" w:color="auto"/>
            </w:tcBorders>
          </w:tcPr>
          <w:p>
            <w:pPr>
              <w:jc w:val="right"/>
              <w:ind w:right="950"/>
              <w:spacing w:after="0" w:line="193" w:lineRule="exact"/>
              <w:rPr>
                <w:sz w:val="20"/>
                <w:szCs w:val="20"/>
                <w:color w:val="auto"/>
              </w:rPr>
            </w:pPr>
            <w:r>
              <w:rPr>
                <w:rFonts w:ascii="Times New Roman" w:cs="Times New Roman" w:eastAsia="Times New Roman" w:hAnsi="Times New Roman"/>
                <w:sz w:val="18"/>
                <w:szCs w:val="18"/>
                <w:color w:val="auto"/>
              </w:rPr>
              <w:t>34,772,285</w:t>
            </w:r>
          </w:p>
        </w:tc>
        <w:tc>
          <w:tcPr>
            <w:tcW w:w="2880" w:type="dxa"/>
            <w:vAlign w:val="bottom"/>
            <w:tcBorders>
              <w:bottom w:val="single" w:sz="8" w:color="auto"/>
              <w:right w:val="single" w:sz="8" w:color="auto"/>
            </w:tcBorders>
          </w:tcPr>
          <w:p>
            <w:pPr>
              <w:jc w:val="right"/>
              <w:ind w:right="1070"/>
              <w:spacing w:after="0" w:line="193" w:lineRule="exact"/>
              <w:rPr>
                <w:sz w:val="20"/>
                <w:szCs w:val="20"/>
                <w:color w:val="auto"/>
              </w:rPr>
            </w:pPr>
            <w:r>
              <w:rPr>
                <w:rFonts w:ascii="Times New Roman" w:cs="Times New Roman" w:eastAsia="Times New Roman" w:hAnsi="Times New Roman"/>
                <w:sz w:val="18"/>
                <w:szCs w:val="18"/>
                <w:color w:val="auto"/>
              </w:rPr>
              <w:t>235,698</w:t>
            </w:r>
          </w:p>
        </w:tc>
        <w:tc>
          <w:tcPr>
            <w:tcW w:w="3220" w:type="dxa"/>
            <w:vAlign w:val="bottom"/>
            <w:tcBorders>
              <w:bottom w:val="single" w:sz="8" w:color="auto"/>
              <w:right w:val="single" w:sz="8" w:color="auto"/>
            </w:tcBorders>
          </w:tcPr>
          <w:p>
            <w:pPr>
              <w:jc w:val="right"/>
              <w:ind w:right="1250"/>
              <w:spacing w:after="0" w:line="193" w:lineRule="exact"/>
              <w:rPr>
                <w:sz w:val="20"/>
                <w:szCs w:val="20"/>
                <w:color w:val="auto"/>
              </w:rPr>
            </w:pPr>
            <w:r>
              <w:rPr>
                <w:rFonts w:ascii="Times New Roman" w:cs="Times New Roman" w:eastAsia="Times New Roman" w:hAnsi="Times New Roman"/>
                <w:sz w:val="18"/>
                <w:szCs w:val="18"/>
                <w:color w:val="auto"/>
              </w:rPr>
              <w:t>118,105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 Approval of the Company’s Eleventh Amended and Restated 2011 Stock Incentive Plan:</w:t>
      </w:r>
    </w:p>
    <w:p>
      <w:pPr>
        <w:spacing w:after="0" w:line="220" w:lineRule="exact"/>
        <w:rPr>
          <w:sz w:val="20"/>
          <w:szCs w:val="20"/>
          <w:color w:val="auto"/>
        </w:rPr>
      </w:pPr>
    </w:p>
    <w:tbl>
      <w:tblPr>
        <w:tblLayout w:type="fixed"/>
        <w:tblInd w:w="113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55"/>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193"/>
        </w:trPr>
        <w:tc>
          <w:tcPr>
            <w:tcW w:w="2260" w:type="dxa"/>
            <w:vAlign w:val="bottom"/>
            <w:tcBorders>
              <w:bottom w:val="single" w:sz="8" w:color="auto"/>
              <w:right w:val="single" w:sz="8" w:color="auto"/>
            </w:tcBorders>
          </w:tcPr>
          <w:p>
            <w:pPr>
              <w:jc w:val="right"/>
              <w:ind w:right="630"/>
              <w:spacing w:after="0" w:line="193" w:lineRule="exact"/>
              <w:rPr>
                <w:sz w:val="20"/>
                <w:szCs w:val="20"/>
                <w:color w:val="auto"/>
              </w:rPr>
            </w:pPr>
            <w:r>
              <w:rPr>
                <w:rFonts w:ascii="Times New Roman" w:cs="Times New Roman" w:eastAsia="Times New Roman" w:hAnsi="Times New Roman"/>
                <w:sz w:val="18"/>
                <w:szCs w:val="18"/>
                <w:color w:val="auto"/>
              </w:rPr>
              <w:t>26,149,277</w:t>
            </w:r>
          </w:p>
        </w:tc>
        <w:tc>
          <w:tcPr>
            <w:tcW w:w="2260" w:type="dxa"/>
            <w:vAlign w:val="bottom"/>
            <w:tcBorders>
              <w:bottom w:val="single" w:sz="8" w:color="auto"/>
              <w:right w:val="single" w:sz="8" w:color="auto"/>
            </w:tcBorders>
          </w:tcPr>
          <w:p>
            <w:pPr>
              <w:jc w:val="right"/>
              <w:ind w:right="690"/>
              <w:spacing w:after="0" w:line="193" w:lineRule="exact"/>
              <w:rPr>
                <w:sz w:val="20"/>
                <w:szCs w:val="20"/>
                <w:color w:val="auto"/>
              </w:rPr>
            </w:pPr>
            <w:r>
              <w:rPr>
                <w:rFonts w:ascii="Times New Roman" w:cs="Times New Roman" w:eastAsia="Times New Roman" w:hAnsi="Times New Roman"/>
                <w:sz w:val="18"/>
                <w:szCs w:val="18"/>
                <w:color w:val="auto"/>
              </w:rPr>
              <w:t>4,875,477</w:t>
            </w:r>
          </w:p>
        </w:tc>
        <w:tc>
          <w:tcPr>
            <w:tcW w:w="2220" w:type="dxa"/>
            <w:vAlign w:val="bottom"/>
            <w:tcBorders>
              <w:bottom w:val="single" w:sz="8" w:color="auto"/>
              <w:right w:val="single" w:sz="8" w:color="auto"/>
            </w:tcBorders>
          </w:tcPr>
          <w:p>
            <w:pPr>
              <w:jc w:val="right"/>
              <w:ind w:right="730"/>
              <w:spacing w:after="0" w:line="193" w:lineRule="exact"/>
              <w:rPr>
                <w:sz w:val="20"/>
                <w:szCs w:val="20"/>
                <w:color w:val="auto"/>
              </w:rPr>
            </w:pPr>
            <w:r>
              <w:rPr>
                <w:rFonts w:ascii="Times New Roman" w:cs="Times New Roman" w:eastAsia="Times New Roman" w:hAnsi="Times New Roman"/>
                <w:sz w:val="18"/>
                <w:szCs w:val="18"/>
                <w:color w:val="auto"/>
              </w:rPr>
              <w:t>115,337</w:t>
            </w:r>
          </w:p>
        </w:tc>
        <w:tc>
          <w:tcPr>
            <w:tcW w:w="22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3,985,997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4 Approval of the Company's Third Amended and Restated 2021 Employee Stock Purchase Plan</w:t>
      </w:r>
    </w:p>
    <w:p>
      <w:pPr>
        <w:spacing w:after="0" w:line="220" w:lineRule="exact"/>
        <w:rPr>
          <w:sz w:val="20"/>
          <w:szCs w:val="20"/>
          <w:color w:val="auto"/>
        </w:rPr>
      </w:pPr>
    </w:p>
    <w:tbl>
      <w:tblPr>
        <w:tblLayout w:type="fixed"/>
        <w:tblInd w:w="1150" w:type="dxa"/>
        <w:tblCellMar>
          <w:top w:w="0" w:type="dxa"/>
          <w:left w:w="0" w:type="dxa"/>
          <w:bottom w:w="0" w:type="dxa"/>
          <w:right w:w="0" w:type="dxa"/>
        </w:tblCellMar>
      </w:tblPr>
      <w:tr>
        <w:trPr>
          <w:trHeight w:val="210"/>
        </w:trPr>
        <w:tc>
          <w:tcPr>
            <w:tcW w:w="2260" w:type="dxa"/>
            <w:vAlign w:val="bottom"/>
            <w:tcBorders>
              <w:top w:val="single" w:sz="8" w:color="auto"/>
              <w:left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55"/>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r>
      <w:tr>
        <w:trPr>
          <w:trHeight w:val="193"/>
        </w:trPr>
        <w:tc>
          <w:tcPr>
            <w:tcW w:w="2260" w:type="dxa"/>
            <w:vAlign w:val="bottom"/>
            <w:tcBorders>
              <w:bottom w:val="single" w:sz="8" w:color="auto"/>
              <w:right w:val="single" w:sz="8" w:color="auto"/>
            </w:tcBorders>
          </w:tcPr>
          <w:p>
            <w:pPr>
              <w:jc w:val="right"/>
              <w:ind w:right="650"/>
              <w:spacing w:after="0" w:line="193" w:lineRule="exact"/>
              <w:rPr>
                <w:sz w:val="20"/>
                <w:szCs w:val="20"/>
                <w:color w:val="auto"/>
              </w:rPr>
            </w:pPr>
            <w:r>
              <w:rPr>
                <w:rFonts w:ascii="Times New Roman" w:cs="Times New Roman" w:eastAsia="Times New Roman" w:hAnsi="Times New Roman"/>
                <w:sz w:val="18"/>
                <w:szCs w:val="18"/>
                <w:color w:val="auto"/>
              </w:rPr>
              <w:t>31,015,479</w:t>
            </w:r>
          </w:p>
        </w:tc>
        <w:tc>
          <w:tcPr>
            <w:tcW w:w="2260" w:type="dxa"/>
            <w:vAlign w:val="bottom"/>
            <w:tcBorders>
              <w:bottom w:val="single" w:sz="8" w:color="auto"/>
              <w:right w:val="single" w:sz="8" w:color="auto"/>
            </w:tcBorders>
          </w:tcPr>
          <w:p>
            <w:pPr>
              <w:jc w:val="right"/>
              <w:ind w:right="810"/>
              <w:spacing w:after="0" w:line="193" w:lineRule="exact"/>
              <w:rPr>
                <w:sz w:val="20"/>
                <w:szCs w:val="20"/>
                <w:color w:val="auto"/>
              </w:rPr>
            </w:pPr>
            <w:r>
              <w:rPr>
                <w:rFonts w:ascii="Times New Roman" w:cs="Times New Roman" w:eastAsia="Times New Roman" w:hAnsi="Times New Roman"/>
                <w:sz w:val="18"/>
                <w:szCs w:val="18"/>
                <w:color w:val="auto"/>
              </w:rPr>
              <w:t>21,054</w:t>
            </w:r>
          </w:p>
        </w:tc>
        <w:tc>
          <w:tcPr>
            <w:tcW w:w="2220" w:type="dxa"/>
            <w:vAlign w:val="bottom"/>
            <w:tcBorders>
              <w:bottom w:val="single" w:sz="8" w:color="auto"/>
              <w:right w:val="single" w:sz="8" w:color="auto"/>
            </w:tcBorders>
          </w:tcPr>
          <w:p>
            <w:pPr>
              <w:jc w:val="right"/>
              <w:ind w:right="750"/>
              <w:spacing w:after="0" w:line="193" w:lineRule="exact"/>
              <w:rPr>
                <w:sz w:val="20"/>
                <w:szCs w:val="20"/>
                <w:color w:val="auto"/>
              </w:rPr>
            </w:pPr>
            <w:r>
              <w:rPr>
                <w:rFonts w:ascii="Times New Roman" w:cs="Times New Roman" w:eastAsia="Times New Roman" w:hAnsi="Times New Roman"/>
                <w:sz w:val="18"/>
                <w:szCs w:val="18"/>
                <w:color w:val="auto"/>
              </w:rPr>
              <w:t>103,558</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3,985,997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5 Approval, by non-binding advisory vote, of the 2025 compensation awarded to Named Executive Officers: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Borders>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spacing w:after="0"/>
              <w:rPr>
                <w:sz w:val="18"/>
                <w:szCs w:val="18"/>
                <w:color w:val="auto"/>
              </w:rPr>
            </w:pPr>
          </w:p>
        </w:tc>
        <w:tc>
          <w:tcPr>
            <w:tcW w:w="2260" w:type="dxa"/>
            <w:vAlign w:val="bottom"/>
            <w:tcBorders>
              <w:top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c>
          <w:tcPr>
            <w:tcW w:w="1120" w:type="dxa"/>
            <w:vAlign w:val="bottom"/>
          </w:tcPr>
          <w:p>
            <w:pPr>
              <w:spacing w:after="0"/>
              <w:rPr>
                <w:sz w:val="18"/>
                <w:szCs w:val="18"/>
                <w:color w:val="auto"/>
              </w:rPr>
            </w:pPr>
          </w:p>
        </w:tc>
      </w:tr>
      <w:tr>
        <w:trPr>
          <w:trHeight w:val="255"/>
        </w:trPr>
        <w:tc>
          <w:tcPr>
            <w:tcW w:w="1180" w:type="dxa"/>
            <w:vAlign w:val="bottom"/>
            <w:tcBorders>
              <w:right w:val="single" w:sz="8" w:color="auto"/>
            </w:tcBorders>
          </w:tcPr>
          <w:p>
            <w:pPr>
              <w:spacing w:after="0"/>
              <w:rPr>
                <w:sz w:val="22"/>
                <w:szCs w:val="22"/>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NON-VOTES</w:t>
            </w:r>
          </w:p>
        </w:tc>
        <w:tc>
          <w:tcPr>
            <w:tcW w:w="1120" w:type="dxa"/>
            <w:vAlign w:val="bottom"/>
          </w:tcPr>
          <w:p>
            <w:pPr>
              <w:spacing w:after="0"/>
              <w:rPr>
                <w:sz w:val="22"/>
                <w:szCs w:val="22"/>
                <w:color w:val="auto"/>
              </w:rPr>
            </w:pPr>
          </w:p>
        </w:tc>
      </w:tr>
      <w:tr>
        <w:trPr>
          <w:trHeight w:val="193"/>
        </w:trPr>
        <w:tc>
          <w:tcPr>
            <w:tcW w:w="1180" w:type="dxa"/>
            <w:vAlign w:val="bottom"/>
            <w:tcBorders>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right"/>
              <w:ind w:right="650"/>
              <w:spacing w:after="0" w:line="193" w:lineRule="exact"/>
              <w:rPr>
                <w:sz w:val="20"/>
                <w:szCs w:val="20"/>
                <w:color w:val="auto"/>
              </w:rPr>
            </w:pPr>
            <w:r>
              <w:rPr>
                <w:rFonts w:ascii="Times New Roman" w:cs="Times New Roman" w:eastAsia="Times New Roman" w:hAnsi="Times New Roman"/>
                <w:sz w:val="18"/>
                <w:szCs w:val="18"/>
                <w:color w:val="auto"/>
              </w:rPr>
              <w:t>30,987,384</w:t>
            </w:r>
          </w:p>
        </w:tc>
        <w:tc>
          <w:tcPr>
            <w:tcW w:w="2260" w:type="dxa"/>
            <w:vAlign w:val="bottom"/>
            <w:tcBorders>
              <w:bottom w:val="single" w:sz="8" w:color="auto"/>
              <w:right w:val="single" w:sz="8" w:color="auto"/>
            </w:tcBorders>
          </w:tcPr>
          <w:p>
            <w:pPr>
              <w:jc w:val="right"/>
              <w:ind w:right="770"/>
              <w:spacing w:after="0" w:line="193" w:lineRule="exact"/>
              <w:rPr>
                <w:sz w:val="20"/>
                <w:szCs w:val="20"/>
                <w:color w:val="auto"/>
              </w:rPr>
            </w:pPr>
            <w:r>
              <w:rPr>
                <w:rFonts w:ascii="Times New Roman" w:cs="Times New Roman" w:eastAsia="Times New Roman" w:hAnsi="Times New Roman"/>
                <w:sz w:val="18"/>
                <w:szCs w:val="18"/>
                <w:color w:val="auto"/>
              </w:rPr>
              <w:t>102,523</w:t>
            </w:r>
          </w:p>
        </w:tc>
        <w:tc>
          <w:tcPr>
            <w:tcW w:w="2220" w:type="dxa"/>
            <w:vAlign w:val="bottom"/>
            <w:tcBorders>
              <w:bottom w:val="single" w:sz="8" w:color="auto"/>
              <w:right w:val="single" w:sz="8" w:color="auto"/>
            </w:tcBorders>
          </w:tcPr>
          <w:p>
            <w:pPr>
              <w:jc w:val="right"/>
              <w:ind w:right="790"/>
              <w:spacing w:after="0" w:line="193" w:lineRule="exact"/>
              <w:rPr>
                <w:sz w:val="20"/>
                <w:szCs w:val="20"/>
                <w:color w:val="auto"/>
              </w:rPr>
            </w:pPr>
            <w:r>
              <w:rPr>
                <w:rFonts w:ascii="Times New Roman" w:cs="Times New Roman" w:eastAsia="Times New Roman" w:hAnsi="Times New Roman"/>
                <w:sz w:val="18"/>
                <w:szCs w:val="18"/>
                <w:color w:val="auto"/>
              </w:rPr>
              <w:t>50,184</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3,985,997</w:t>
            </w:r>
          </w:p>
        </w:tc>
        <w:tc>
          <w:tcPr>
            <w:tcW w:w="1120" w:type="dxa"/>
            <w:vAlign w:val="bottom"/>
          </w:tcPr>
          <w:p>
            <w:pPr>
              <w:spacing w:after="0"/>
              <w:rPr>
                <w:sz w:val="16"/>
                <w:szCs w:val="16"/>
                <w:color w:val="auto"/>
              </w:rPr>
            </w:pPr>
          </w:p>
        </w:tc>
      </w:tr>
      <w:tr>
        <w:trPr>
          <w:trHeight w:val="568"/>
        </w:trPr>
        <w:tc>
          <w:tcPr>
            <w:tcW w:w="1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0" w:lineRule="exact"/>
        <w:rPr>
          <w:sz w:val="20"/>
          <w:szCs w:val="20"/>
          <w:color w:val="auto"/>
        </w:rPr>
      </w:pPr>
    </w:p>
    <w:p>
      <w:pPr>
        <w:ind w:left="160"/>
        <w:spacing w:after="0"/>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PDF Solutions, Inc.’s Eleventh Amended and Restated 2011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447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447675"/>
                    </a:xfrm>
                    <a:prstGeom prst="rect">
                      <a:avLst/>
                    </a:prstGeom>
                    <a:noFill/>
                  </pic:spPr>
                </pic:pic>
              </a:graphicData>
            </a:graphic>
          </wp:anchor>
        </w:drawing>
      </w:r>
    </w:p>
    <w:p>
      <w:pPr>
        <w:spacing w:after="0" w:line="7" w:lineRule="exact"/>
        <w:rPr>
          <w:sz w:val="20"/>
          <w:szCs w:val="20"/>
          <w:color w:val="auto"/>
        </w:rPr>
      </w:pPr>
    </w:p>
    <w:p>
      <w:pPr>
        <w:ind w:left="160"/>
        <w:spacing w:after="0"/>
        <w:tabs>
          <w:tab w:leader="none" w:pos="7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PDF Solutions, Inc.’s Third Amended and Restated 2021 Employee Stock Purchase Plan</w:t>
      </w:r>
    </w:p>
    <w:p>
      <w:pPr>
        <w:spacing w:after="0" w:line="23" w:lineRule="exact"/>
        <w:rPr>
          <w:sz w:val="20"/>
          <w:szCs w:val="20"/>
          <w:color w:val="auto"/>
        </w:rPr>
      </w:pPr>
    </w:p>
    <w:p>
      <w:pPr>
        <w:ind w:left="780" w:hanging="615"/>
        <w:spacing w:after="0"/>
        <w:tabs>
          <w:tab w:leader="none" w:pos="7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3"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PDF SOLUTIONS,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ectPr>
          <w:pgSz w:w="11900" w:h="16838" w:orient="portrait"/>
          <w:cols w:equalWidth="0" w:num="1">
            <w:col w:w="10340"/>
          </w:cols>
          <w:pgMar w:left="320" w:top="121" w:right="1239" w:bottom="1440" w:gutter="0" w:footer="0" w:header="0"/>
        </w:sect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18, 2026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Adnan 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746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Adnan Raza</w:t>
      </w:r>
    </w:p>
    <w:p>
      <w:pPr>
        <w:spacing w:after="0" w:line="23" w:lineRule="exact"/>
        <w:rPr>
          <w:sz w:val="20"/>
          <w:szCs w:val="20"/>
          <w:color w:val="auto"/>
        </w:rPr>
      </w:pPr>
    </w:p>
    <w:p>
      <w:pPr>
        <w:jc w:val="both"/>
        <w:ind w:right="1120"/>
        <w:spacing w:after="0" w:line="290" w:lineRule="auto"/>
        <w:rPr>
          <w:sz w:val="20"/>
          <w:szCs w:val="20"/>
          <w:color w:val="auto"/>
        </w:rPr>
      </w:pPr>
      <w:r>
        <w:rPr>
          <w:rFonts w:ascii="Times New Roman" w:cs="Times New Roman" w:eastAsia="Times New Roman" w:hAnsi="Times New Roman"/>
          <w:sz w:val="17"/>
          <w:szCs w:val="17"/>
          <w:i w:val="1"/>
          <w:iCs w:val="1"/>
          <w:color w:val="auto"/>
        </w:rPr>
        <w:t>EVP, Finance, and Chief Financial Officer (principal financial and accounting officer)</w:t>
      </w:r>
    </w:p>
    <w:p>
      <w:pPr>
        <w:sectPr>
          <w:pgSz w:w="11900" w:h="16838" w:orient="portrait"/>
          <w:cols w:equalWidth="0" w:num="2">
            <w:col w:w="5900" w:space="180"/>
            <w:col w:w="4260"/>
          </w:cols>
          <w:pgMar w:left="320" w:top="121" w:right="123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7175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PDF Solutions,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Eleventh Amended and Restated</w:t>
      </w:r>
    </w:p>
    <w:p>
      <w:pPr>
        <w:spacing w:after="0"/>
        <w:rPr>
          <w:sz w:val="20"/>
          <w:szCs w:val="20"/>
          <w:color w:val="auto"/>
        </w:rPr>
      </w:pPr>
      <w:r>
        <w:rPr>
          <w:rFonts w:ascii="Times New Roman" w:cs="Times New Roman" w:eastAsia="Times New Roman" w:hAnsi="Times New Roman"/>
          <w:sz w:val="32"/>
          <w:szCs w:val="32"/>
          <w:b w:val="1"/>
          <w:bCs w:val="1"/>
          <w:color w:val="auto"/>
        </w:rPr>
        <w:t>2011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INTRODUCTION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16, 2011, the original 2011 Stock Incentive Plan became effective upon approval by our stockholders (the “Effective Date”). On May 28, 2013, the stockholders approved the First Amended and Restated 2011 Stock Incentive Plan to increase the authorized share limit. On May 27, 2014, the stockholders approved the Second Amended and Restated 2011 Stock Incentive Plan to increase the authorized share limit. On May 31, 2016, the stockholders approved the Third Amended and Restated 2011 Stock Incentive Plan to increase the authorized share limit. On May 30, 2017, the stockholders approved the Fourth Amended and Restated 2011 Stock Incentive Plan to increase the authorized share limit. On May 28, 2019, the stockholders approved the Fifth Amended and Restated 2011 Stock Incentive Plan to increase the authorized share limit. On April 26, 2020, the stockholders approved the Sixth Amended and Restated 2011 Stock Incentive Plan to increase the authorized share limit. On June 14, 2022, the stockholders approved the Seventh Amended and Restated 2011 Stock Incentive Plan to increase the authorized share limit. On June 13, 2023, the stockholders approved the Eighth Amended and Restated 2011 Stock Incentive Plan to increase the authorized share limit. On June 18, 2024, the stockholders approved the Ninth Amended and Restated 2011 Stock Incentive Plan to increase the authorized share limit. On June 17, 2025 the stockholders approved the Tenth Amended and Restated 2011 Stock Incentive Plan to, among other things, increase the authorized share limit. On June 16, 2026, the stockholders approved this Eleventh Amended and Restated 2011 Stock Incentive Plan to increase the authorized share limit and extend the deadline to grant incentive stock options to April 23, 2036.</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purpose of this Plan is to promote the long-term success of the Company and the creation of stockholder value by offering Key Service Providers the opportunity to share in such long-term success by acquiring a proprietary interest in the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seeks to achieve this purpose by providing for discretionary long-term incentive Awards in the form of Options (which may be Incentive Stock Options or Nonstatutory Stock Options), Stock Appreciation Rights, Stock Grants and Stock Units.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shall be governed by, and construed in accordance with, the laws of the State of California (except its choice-of law provisions). Capitalized terms shall have the meaning provided in Section 2 unless otherwise provided in this Plan or any related Award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DEFINITIONS</w:t>
      </w:r>
    </w:p>
    <w:p>
      <w:pPr>
        <w:spacing w:after="0" w:line="225" w:lineRule="exact"/>
        <w:rPr>
          <w:sz w:val="20"/>
          <w:szCs w:val="20"/>
          <w:color w:val="auto"/>
        </w:rPr>
      </w:pPr>
    </w:p>
    <w:p>
      <w:pPr>
        <w:ind w:left="660" w:hanging="49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entity other than a Subsidiary, if the Company and/or one or more Subsidiaries own not less than 50% of such entity.</w:t>
      </w:r>
    </w:p>
    <w:p>
      <w:pPr>
        <w:spacing w:after="0" w:line="279"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SAR, Stock Grant or Stock Unit.</w:t>
      </w:r>
    </w:p>
    <w:p>
      <w:pPr>
        <w:spacing w:after="0" w:line="279"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Stock Option Agreement, SAR Agreement, Stock Grant Agreement or Stock Unit Agreement or the online grant summary, which will generally be delivered online by the Company or its designated third-party broker and accepted online by the Participant or Optionee.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ind w:left="490" w:hanging="490"/>
        <w:spacing w:after="0"/>
        <w:tabs>
          <w:tab w:leader="none" w:pos="4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 as constituted from time to time.</w:t>
      </w:r>
    </w:p>
    <w:p>
      <w:pPr>
        <w:spacing w:after="0" w:line="279" w:lineRule="exact"/>
        <w:rPr>
          <w:rFonts w:ascii="Times New Roman" w:cs="Times New Roman" w:eastAsia="Times New Roman" w:hAnsi="Times New Roman"/>
          <w:sz w:val="18"/>
          <w:szCs w:val="18"/>
          <w:color w:val="auto"/>
        </w:rPr>
      </w:pPr>
    </w:p>
    <w:p>
      <w:pPr>
        <w:jc w:val="both"/>
        <w:ind w:left="490" w:hanging="490"/>
        <w:spacing w:after="0" w:line="261" w:lineRule="auto"/>
        <w:tabs>
          <w:tab w:leader="none" w:pos="4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means, to the extent that a Stock Option Agreement so provides and as permitted by applicable law, a program approved by the Committee in which payment of the aggregate Exercise Price and/or satisfaction of any applicable tax obligations may be made all or in part by delivery (on a form prescribed by the Committee) of an irrevocable direction to a securities broker to sell Shares subject to an Option and to deliver all or part of the sale proceeds to the Company.</w:t>
      </w:r>
    </w:p>
    <w:p>
      <w:pPr>
        <w:spacing w:after="0" w:line="206" w:lineRule="exact"/>
        <w:rPr>
          <w:rFonts w:ascii="Times New Roman" w:cs="Times New Roman" w:eastAsia="Times New Roman" w:hAnsi="Times New Roman"/>
          <w:sz w:val="18"/>
          <w:szCs w:val="18"/>
          <w:color w:val="auto"/>
        </w:rPr>
      </w:pPr>
    </w:p>
    <w:p>
      <w:pPr>
        <w:jc w:val="both"/>
        <w:ind w:left="490" w:hanging="490"/>
        <w:spacing w:after="0" w:line="254" w:lineRule="auto"/>
        <w:tabs>
          <w:tab w:leader="none" w:pos="4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may otherwise be provided in a Participant’s employment agreement or Award Agreement, (i) Participant’s willful failure to perform his or her duties and responsibilities to the Company or material violation of a written Company policy; (ii) Participant’s commission of any act of fraud, embezzlement, dishonesty or any other willful misconduct that has caused or is reasonably expected to result in material injury to the Company; (iii) unauthorized use or disclosure by Participant of any proprietary information or trade secrets of the Company or any other party to whom the Participant owes an obligation of nondisclosure as a result of his or her relationship with the Company; or</w:t>
      </w:r>
    </w:p>
    <w:p>
      <w:pPr>
        <w:spacing w:after="0" w:line="3" w:lineRule="exact"/>
        <w:rPr>
          <w:rFonts w:ascii="Times New Roman" w:cs="Times New Roman" w:eastAsia="Times New Roman" w:hAnsi="Times New Roman"/>
          <w:sz w:val="18"/>
          <w:szCs w:val="18"/>
          <w:color w:val="auto"/>
        </w:rPr>
      </w:pPr>
    </w:p>
    <w:p>
      <w:pPr>
        <w:jc w:val="both"/>
        <w:ind w:left="490" w:hanging="4"/>
        <w:spacing w:after="0" w:line="251" w:lineRule="auto"/>
        <w:tabs>
          <w:tab w:leader="none" w:pos="81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material breach of any of his or her obligations under any written agreement or covenant with the Company, including any restrictive covenant obligation to the Company or any of its Affiliates, with the Company. The determination as to whether a Participant is being terminated for Cause shall be made in good faith by the Committee and shall be conclusive and binding on the Participant. Without in any way limiting the effect of the foregoing, for the purposes of the Plan and any Award, a Participant’s Service shall be deemed to have terminated for Cause if, after the Participant’s Service has terminated, facts and circumstances are discovered that would have justified, in the opinion of the Committee, a termination for Cause. The foregoing definition does not in any way limit the Company’s ability to terminate a Participant’s Service at any time as provided in Section 12(a), and the term “Company” will be interpreted to include any Subsidiary, Parent, Affiliate, or any successor thereto, if appropriate.</w:t>
      </w:r>
    </w:p>
    <w:p>
      <w:pPr>
        <w:spacing w:after="0" w:line="220"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consummation of any of the following transactions:</w:t>
      </w:r>
    </w:p>
    <w:p>
      <w:pPr>
        <w:spacing w:after="0" w:line="252" w:lineRule="exact"/>
        <w:rPr>
          <w:rFonts w:ascii="Times New Roman" w:cs="Times New Roman" w:eastAsia="Times New Roman" w:hAnsi="Times New Roman"/>
          <w:sz w:val="18"/>
          <w:szCs w:val="18"/>
          <w:color w:val="auto"/>
        </w:rPr>
      </w:pPr>
    </w:p>
    <w:p>
      <w:pPr>
        <w:ind w:left="1130" w:hanging="644"/>
        <w:spacing w:after="0"/>
        <w:tabs>
          <w:tab w:leader="none" w:pos="11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Company’s assets;</w:t>
      </w:r>
    </w:p>
    <w:p>
      <w:pPr>
        <w:spacing w:after="0" w:line="279" w:lineRule="exact"/>
        <w:rPr>
          <w:rFonts w:ascii="Times New Roman" w:cs="Times New Roman" w:eastAsia="Times New Roman" w:hAnsi="Times New Roman"/>
          <w:sz w:val="18"/>
          <w:szCs w:val="18"/>
          <w:color w:val="auto"/>
        </w:rPr>
      </w:pPr>
    </w:p>
    <w:p>
      <w:pPr>
        <w:jc w:val="both"/>
        <w:ind w:left="1130" w:right="20" w:hanging="644"/>
        <w:spacing w:after="0" w:line="266" w:lineRule="auto"/>
        <w:tabs>
          <w:tab w:leader="none" w:pos="11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the Company with or into another corporation in which securities possessing more than 50% of the total combined voting power of the Company are transferred to a person or persons different from the persons holding those securities immediately prior to such transaction;</w:t>
      </w:r>
    </w:p>
    <w:p>
      <w:pPr>
        <w:spacing w:after="0" w:line="202" w:lineRule="exact"/>
        <w:rPr>
          <w:rFonts w:ascii="Times New Roman" w:cs="Times New Roman" w:eastAsia="Times New Roman" w:hAnsi="Times New Roman"/>
          <w:sz w:val="18"/>
          <w:szCs w:val="18"/>
          <w:color w:val="auto"/>
        </w:rPr>
      </w:pPr>
    </w:p>
    <w:p>
      <w:pPr>
        <w:jc w:val="both"/>
        <w:ind w:left="1130" w:hanging="644"/>
        <w:spacing w:after="0" w:line="220" w:lineRule="exact"/>
        <w:tabs>
          <w:tab w:leader="none" w:pos="11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by any person or related group of persons of beneficial ownership (within the meaning of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the Exchange Act) of securities of the Company representing more than 50% of the total combined voting power of the Company’s then outstanding securities, provided, however, that for purposes of this subsection, the acquisition of additional stock by any person or related group of persons, who is considered to own more than 50% of the total voting power of the stock of the Company will not be considered a Change in Control; or</w:t>
      </w:r>
    </w:p>
    <w:p>
      <w:pPr>
        <w:spacing w:after="0" w:line="227" w:lineRule="exact"/>
        <w:rPr>
          <w:rFonts w:ascii="Times New Roman" w:cs="Times New Roman" w:eastAsia="Times New Roman" w:hAnsi="Times New Roman"/>
          <w:sz w:val="18"/>
          <w:szCs w:val="18"/>
          <w:color w:val="auto"/>
        </w:rPr>
      </w:pPr>
    </w:p>
    <w:p>
      <w:pPr>
        <w:jc w:val="both"/>
        <w:ind w:left="1130" w:hanging="644"/>
        <w:spacing w:after="0" w:line="266" w:lineRule="auto"/>
        <w:tabs>
          <w:tab w:leader="none" w:pos="113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w:t>
      </w:r>
    </w:p>
    <w:p>
      <w:pPr>
        <w:spacing w:after="0" w:line="176" w:lineRule="exact"/>
        <w:rPr>
          <w:sz w:val="20"/>
          <w:szCs w:val="20"/>
          <w:color w:val="auto"/>
        </w:rPr>
      </w:pPr>
    </w:p>
    <w:p>
      <w:pPr>
        <w:jc w:val="both"/>
        <w:ind w:left="10"/>
        <w:spacing w:after="0" w:line="222" w:lineRule="exact"/>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and is subject to Section 409A, to the extent required to avoid the imposition of additional taxes under Section 409A, the transaction or event described in subsection (i), (ii) or (iii) above with respect to such Award (or portion thereof) shall only constitute a Change in Control for purposes of the payment timing of such Award if such transaction also constitutes a “change in control event,” as defined in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3(i)(5). The Board shall have full and final authority, which shall be exercised in its sole discretion, to determine conclusively whether a Change in Control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3(i)(5) shall be consistent with such regulation.</w:t>
      </w:r>
    </w:p>
    <w:p>
      <w:pPr>
        <w:spacing w:after="0" w:line="171"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Page 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0" w:right="339" w:bottom="1440" w:gutter="0" w:footer="0" w:header="0"/>
        </w:sectPr>
      </w:pPr>
    </w:p>
    <w:bookmarkStart w:id="7" w:name="page8"/>
    <w:bookmarkEnd w:id="7"/>
    <w:p>
      <w:pPr>
        <w:ind w:left="490" w:hanging="490"/>
        <w:spacing w:after="0"/>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and interpretations promulgated thereunder.</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described in Section 3.</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PDF Solutions, Inc., a Delaware corporation.</w:t>
      </w:r>
    </w:p>
    <w:p>
      <w:pPr>
        <w:spacing w:after="0" w:line="279" w:lineRule="exact"/>
        <w:rPr>
          <w:rFonts w:ascii="Times New Roman" w:cs="Times New Roman" w:eastAsia="Times New Roman" w:hAnsi="Times New Roman"/>
          <w:sz w:val="18"/>
          <w:szCs w:val="18"/>
          <w:color w:val="auto"/>
        </w:rPr>
      </w:pPr>
    </w:p>
    <w:p>
      <w:pPr>
        <w:ind w:left="490" w:hanging="490"/>
        <w:spacing w:after="0" w:line="282"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Contractor</w:t>
      </w:r>
      <w:r>
        <w:rPr>
          <w:rFonts w:ascii="Times New Roman" w:cs="Times New Roman" w:eastAsia="Times New Roman" w:hAnsi="Times New Roman"/>
          <w:sz w:val="18"/>
          <w:szCs w:val="18"/>
          <w:color w:val="auto"/>
        </w:rPr>
        <w:t>” means an individual who provides bona fide services directly to the Company, a Parent, a Subsidiary or an Affiliate, other than as an Employee, Director or Non-Employee Director.</w:t>
      </w:r>
    </w:p>
    <w:p>
      <w:pPr>
        <w:spacing w:after="0" w:line="188"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who is also an Employee.</w:t>
      </w:r>
    </w:p>
    <w:p>
      <w:pPr>
        <w:spacing w:after="0" w:line="279" w:lineRule="exact"/>
        <w:rPr>
          <w:rFonts w:ascii="Times New Roman" w:cs="Times New Roman" w:eastAsia="Times New Roman" w:hAnsi="Times New Roman"/>
          <w:sz w:val="18"/>
          <w:szCs w:val="18"/>
          <w:color w:val="auto"/>
        </w:rPr>
      </w:pPr>
    </w:p>
    <w:p>
      <w:pPr>
        <w:jc w:val="both"/>
        <w:ind w:left="490" w:hanging="490"/>
        <w:spacing w:after="0" w:line="266"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that the Participant is classified as disabled under the long-term disability policy of the Company or, if no such policy applies, the Participant is unable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202"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individual who is a common-law employee of the Company, a Parent, a Subsidiary or an Affiliate.</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79" w:lineRule="exact"/>
        <w:rPr>
          <w:rFonts w:ascii="Times New Roman" w:cs="Times New Roman" w:eastAsia="Times New Roman" w:hAnsi="Times New Roman"/>
          <w:sz w:val="18"/>
          <w:szCs w:val="18"/>
          <w:color w:val="auto"/>
        </w:rPr>
      </w:pPr>
    </w:p>
    <w:p>
      <w:pPr>
        <w:jc w:val="both"/>
        <w:ind w:left="490" w:hanging="490"/>
        <w:spacing w:after="0" w:line="266"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in the case of an Option, the amount for which a Share may be purchased upon exercise of such Option, as specified in the applicable Stock Option Agreement. “Exercise Price,” in the case of a SAR, means an amount, as specified in the applicable SAR Agreement, which is subtracted from the Fair Market Value in determining the amount payable upon exercise of such SAR.</w:t>
      </w:r>
    </w:p>
    <w:p>
      <w:pPr>
        <w:spacing w:after="0" w:line="202" w:lineRule="exact"/>
        <w:rPr>
          <w:rFonts w:ascii="Times New Roman" w:cs="Times New Roman" w:eastAsia="Times New Roman" w:hAnsi="Times New Roman"/>
          <w:sz w:val="18"/>
          <w:szCs w:val="18"/>
          <w:color w:val="auto"/>
        </w:rPr>
      </w:pPr>
    </w:p>
    <w:p>
      <w:pPr>
        <w:ind w:left="490" w:hanging="490"/>
        <w:spacing w:after="0" w:line="282" w:lineRule="auto"/>
        <w:tabs>
          <w:tab w:leader="none" w:pos="4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market price of a Share as determined in good faith by the Committee. Such determination shall be conclusive and binding on all persons. The Fair Market Value shall be determined by the following:</w:t>
      </w:r>
    </w:p>
    <w:p>
      <w:pPr>
        <w:spacing w:after="0" w:line="161" w:lineRule="exact"/>
        <w:rPr>
          <w:rFonts w:ascii="Times New Roman" w:cs="Times New Roman" w:eastAsia="Times New Roman" w:hAnsi="Times New Roman"/>
          <w:sz w:val="18"/>
          <w:szCs w:val="18"/>
          <w:color w:val="auto"/>
        </w:rPr>
      </w:pPr>
    </w:p>
    <w:p>
      <w:pPr>
        <w:jc w:val="both"/>
        <w:ind w:left="1130" w:hanging="644"/>
        <w:spacing w:after="0" w:line="266" w:lineRule="auto"/>
        <w:tabs>
          <w:tab w:leader="none" w:pos="113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admitted to trading on any established national stock exchange or market system, including without limitation the Nasdaq National Market System, on the date in question, then the Fair Market Value shall be equal to the closing sales price for such Shares as quoted on such national exchange or system on such date; or</w:t>
      </w:r>
    </w:p>
    <w:p>
      <w:pPr>
        <w:spacing w:after="0" w:line="175" w:lineRule="exact"/>
        <w:rPr>
          <w:rFonts w:ascii="Times New Roman" w:cs="Times New Roman" w:eastAsia="Times New Roman" w:hAnsi="Times New Roman"/>
          <w:sz w:val="18"/>
          <w:szCs w:val="18"/>
          <w:color w:val="auto"/>
        </w:rPr>
      </w:pPr>
    </w:p>
    <w:p>
      <w:pPr>
        <w:jc w:val="both"/>
        <w:ind w:left="1130" w:right="20" w:hanging="644"/>
        <w:spacing w:after="0" w:line="266" w:lineRule="auto"/>
        <w:tabs>
          <w:tab w:leader="none" w:pos="113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admitted to quotation on Nasdaq or are regularly quoted by a recognized securities dealer but selling prices are not reported on the date in question, then the Fair Market Value shall be equal to the mean between the bid and asked prices of the Shares reported for such date.</w:t>
      </w:r>
    </w:p>
    <w:p>
      <w:pPr>
        <w:spacing w:after="0" w:line="176" w:lineRule="exact"/>
        <w:rPr>
          <w:sz w:val="20"/>
          <w:szCs w:val="20"/>
          <w:color w:val="auto"/>
        </w:rPr>
      </w:pPr>
    </w:p>
    <w:p>
      <w:pPr>
        <w:jc w:val="both"/>
        <w:ind w:left="490"/>
        <w:spacing w:after="0" w:line="261" w:lineRule="auto"/>
        <w:rPr>
          <w:sz w:val="20"/>
          <w:szCs w:val="20"/>
          <w:color w:val="auto"/>
        </w:rPr>
      </w:pPr>
      <w:r>
        <w:rPr>
          <w:rFonts w:ascii="Times New Roman" w:cs="Times New Roman" w:eastAsia="Times New Roman" w:hAnsi="Times New Roman"/>
          <w:sz w:val="18"/>
          <w:szCs w:val="18"/>
          <w:color w:val="auto"/>
        </w:rPr>
        <w:t>In each case, the applicable price shall be the price reported in The Wall Street Journal or such other source as the Committee deems reliable; provided, however, that if there is no such reported price for the Shares for the date in question, then the Fair Market Value shall be equal to the price reported on the last preceding date for which such price exists. If neither (i) or (ii) are applicable, then the Fair Market Value shall be determined by the Committee in good faith on such basis as it deems appropriate.</w:t>
      </w:r>
    </w:p>
    <w:p>
      <w:pPr>
        <w:spacing w:after="0" w:line="180" w:lineRule="exact"/>
        <w:rPr>
          <w:sz w:val="20"/>
          <w:szCs w:val="20"/>
          <w:color w:val="auto"/>
        </w:rPr>
      </w:pPr>
    </w:p>
    <w:p>
      <w:pPr>
        <w:ind w:left="490" w:hanging="490"/>
        <w:spacing w:after="0"/>
        <w:tabs>
          <w:tab w:leader="none" w:pos="4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Company’s fiscal year.</w:t>
      </w:r>
    </w:p>
    <w:p>
      <w:pPr>
        <w:spacing w:after="0" w:line="279" w:lineRule="exact"/>
        <w:rPr>
          <w:rFonts w:ascii="Times New Roman" w:cs="Times New Roman" w:eastAsia="Times New Roman" w:hAnsi="Times New Roman"/>
          <w:sz w:val="18"/>
          <w:szCs w:val="18"/>
          <w:color w:val="auto"/>
        </w:rPr>
      </w:pPr>
    </w:p>
    <w:p>
      <w:pPr>
        <w:ind w:left="5010" w:right="3420" w:hanging="5010"/>
        <w:spacing w:after="0" w:line="563" w:lineRule="auto"/>
        <w:tabs>
          <w:tab w:leader="none" w:pos="4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means an incentive stock option described in Code Section 422. Page 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-107315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0" w:right="339" w:bottom="1440" w:gutter="0" w:footer="0" w:header="0"/>
        </w:sectPr>
      </w:pPr>
    </w:p>
    <w:bookmarkStart w:id="8" w:name="page9"/>
    <w:bookmarkEnd w:id="8"/>
    <w:p>
      <w:pPr>
        <w:ind w:left="490" w:hanging="490"/>
        <w:spacing w:after="0" w:line="282" w:lineRule="auto"/>
        <w:tabs>
          <w:tab w:leader="none" w:pos="4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Service Provider</w:t>
      </w:r>
      <w:r>
        <w:rPr>
          <w:rFonts w:ascii="Times New Roman" w:cs="Times New Roman" w:eastAsia="Times New Roman" w:hAnsi="Times New Roman"/>
          <w:sz w:val="18"/>
          <w:szCs w:val="18"/>
          <w:color w:val="auto"/>
        </w:rPr>
        <w:t>” means an Employee, Director, Non-Employee Director or Contractor who has been selected by the Committee to receive an Award under the Plan.</w:t>
      </w:r>
    </w:p>
    <w:p>
      <w:pPr>
        <w:spacing w:after="0" w:line="188"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NSO</w:t>
      </w:r>
      <w:r>
        <w:rPr>
          <w:rFonts w:ascii="Times New Roman" w:cs="Times New Roman" w:eastAsia="Times New Roman" w:hAnsi="Times New Roman"/>
          <w:sz w:val="18"/>
          <w:szCs w:val="18"/>
          <w:color w:val="auto"/>
        </w:rPr>
        <w:t>” means a stock option that is not an ISO.</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ISO or NSO granted under the Plan entitling the Optionee to purchase Shares.</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means an individual, estate or other entity that holds an Option.</w:t>
      </w:r>
    </w:p>
    <w:p>
      <w:pPr>
        <w:spacing w:after="0" w:line="279" w:lineRule="exact"/>
        <w:rPr>
          <w:rFonts w:ascii="Times New Roman" w:cs="Times New Roman" w:eastAsia="Times New Roman" w:hAnsi="Times New Roman"/>
          <w:sz w:val="18"/>
          <w:szCs w:val="18"/>
          <w:color w:val="auto"/>
        </w:rPr>
      </w:pPr>
    </w:p>
    <w:p>
      <w:pPr>
        <w:jc w:val="both"/>
        <w:ind w:left="490" w:hanging="490"/>
        <w:spacing w:after="0" w:line="261" w:lineRule="auto"/>
        <w:tabs>
          <w:tab w:leader="none" w:pos="4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207" w:lineRule="exact"/>
        <w:rPr>
          <w:sz w:val="20"/>
          <w:szCs w:val="20"/>
          <w:color w:val="auto"/>
        </w:rPr>
      </w:pPr>
    </w:p>
    <w:p>
      <w:pPr>
        <w:ind w:left="490" w:hanging="490"/>
        <w:spacing w:after="0"/>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individual or estate or other entity that holds an Award.</w:t>
      </w:r>
    </w:p>
    <w:p>
      <w:pPr>
        <w:spacing w:after="0" w:line="279" w:lineRule="exact"/>
        <w:rPr>
          <w:rFonts w:ascii="Times New Roman" w:cs="Times New Roman" w:eastAsia="Times New Roman" w:hAnsi="Times New Roman"/>
          <w:sz w:val="18"/>
          <w:szCs w:val="18"/>
          <w:color w:val="auto"/>
        </w:rPr>
      </w:pPr>
    </w:p>
    <w:p>
      <w:pPr>
        <w:jc w:val="both"/>
        <w:ind w:left="490" w:hanging="490"/>
        <w:spacing w:after="0" w:line="254" w:lineRule="auto"/>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means one or more objective measurable performance goals established by the Committee with respect to a Performance Period based upon one or more factors, including, but not limited to: (i) operating income; (ii) earnings before interest, taxes, depreciation and amortization; (iii) earnings; (iv) cash flow; (v) market share; (vi) sales or revenue; (vii) expenses; (viii) cost of goods sold; (ix) profit/loss or profit margin; (x) working capital; (xi) return on equity or assets; (xii) earnings per share; (xiii) economic value added; (xiv) price/earnings ratio; (xv) debt or debt-to-equity; (xvi) accounts receivable; (xvii) writeoffs; (xviii) cash; (xix) assets; (xx) liquidity; (xxi) operations; (xxii) intellectual property (e.g., patents); (xxiii) product development; (xxiv) regulatory activity; (xxv) manufacturing, production or inventory; (xxvi) mergers and acquisitions or divestitures; and/or (xxvii) financings, each with respect to the Company and/or one or more of its Parent, Subsidiaries, Affiliates or operating units.</w:t>
      </w:r>
    </w:p>
    <w:p>
      <w:pPr>
        <w:spacing w:after="0" w:line="218" w:lineRule="exact"/>
        <w:rPr>
          <w:rFonts w:ascii="Times New Roman" w:cs="Times New Roman" w:eastAsia="Times New Roman" w:hAnsi="Times New Roman"/>
          <w:sz w:val="18"/>
          <w:szCs w:val="18"/>
          <w:color w:val="auto"/>
        </w:rPr>
      </w:pPr>
    </w:p>
    <w:p>
      <w:pPr>
        <w:jc w:val="both"/>
        <w:ind w:left="490" w:hanging="490"/>
        <w:spacing w:after="0" w:line="266" w:lineRule="auto"/>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any period not exceeding 36 months as determined by the Committee, in its sole discretion. The Committee may establish different Performance Periods for different Participants, and the Committee may establish concurrent or overlapping Performance Periods.</w:t>
      </w:r>
    </w:p>
    <w:p>
      <w:pPr>
        <w:spacing w:after="0" w:line="202"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Amended and Restated 2011 Stock Incentive Plan as it may be amended from time to time.</w:t>
      </w:r>
    </w:p>
    <w:p>
      <w:pPr>
        <w:spacing w:after="0" w:line="279" w:lineRule="exact"/>
        <w:rPr>
          <w:rFonts w:ascii="Times New Roman" w:cs="Times New Roman" w:eastAsia="Times New Roman" w:hAnsi="Times New Roman"/>
          <w:sz w:val="18"/>
          <w:szCs w:val="18"/>
          <w:color w:val="auto"/>
        </w:rPr>
      </w:pPr>
    </w:p>
    <w:p>
      <w:pPr>
        <w:jc w:val="both"/>
        <w:ind w:left="490" w:hanging="490"/>
        <w:spacing w:after="0" w:line="266" w:lineRule="auto"/>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Re-Price</w:t>
      </w:r>
      <w:r>
        <w:rPr>
          <w:rFonts w:ascii="Times New Roman" w:cs="Times New Roman" w:eastAsia="Times New Roman" w:hAnsi="Times New Roman"/>
          <w:sz w:val="18"/>
          <w:szCs w:val="18"/>
          <w:color w:val="auto"/>
        </w:rPr>
        <w:t>” means that the Company has repriced outstanding Options and/or outstanding SARs by lowering or reducing the Exercise Price of such Awards or has implemented an Option or SAR exchange program whereby the Participant agrees to cancel an existing Option or SAR in exchange for cash, an Option, a SAR or other Award.</w:t>
      </w:r>
    </w:p>
    <w:p>
      <w:pPr>
        <w:spacing w:after="0" w:line="202"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 Agreement</w:t>
      </w:r>
      <w:r>
        <w:rPr>
          <w:rFonts w:ascii="Times New Roman" w:cs="Times New Roman" w:eastAsia="Times New Roman" w:hAnsi="Times New Roman"/>
          <w:sz w:val="18"/>
          <w:szCs w:val="18"/>
          <w:color w:val="auto"/>
        </w:rPr>
        <w:t>” means the agreement described in Section 7 evidencing a Stock Appreciation Right.</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79"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 Persons</w:t>
      </w:r>
      <w:r>
        <w:rPr>
          <w:rFonts w:ascii="Times New Roman" w:cs="Times New Roman" w:eastAsia="Times New Roman" w:hAnsi="Times New Roman"/>
          <w:sz w:val="18"/>
          <w:szCs w:val="18"/>
          <w:color w:val="auto"/>
        </w:rPr>
        <w:t>” means those officers, directors or other persons who are subject to the requirement of Section 16 of the Exchange Act.</w:t>
      </w:r>
    </w:p>
    <w:p>
      <w:pPr>
        <w:spacing w:after="0" w:line="279" w:lineRule="exact"/>
        <w:rPr>
          <w:rFonts w:ascii="Times New Roman" w:cs="Times New Roman" w:eastAsia="Times New Roman" w:hAnsi="Times New Roman"/>
          <w:sz w:val="18"/>
          <w:szCs w:val="18"/>
          <w:color w:val="auto"/>
        </w:rPr>
      </w:pPr>
    </w:p>
    <w:p>
      <w:pPr>
        <w:ind w:left="490" w:hanging="490"/>
        <w:spacing w:after="0" w:line="282" w:lineRule="auto"/>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means Section 409A of the Code and the interpretative guidance issued thereunder, including, without limitation, any such guidance that may be issued after the Effective Date.</w:t>
      </w:r>
    </w:p>
    <w:p>
      <w:pPr>
        <w:spacing w:after="0" w:line="188" w:lineRule="exact"/>
        <w:rPr>
          <w:rFonts w:ascii="Times New Roman" w:cs="Times New Roman" w:eastAsia="Times New Roman" w:hAnsi="Times New Roman"/>
          <w:sz w:val="18"/>
          <w:szCs w:val="18"/>
          <w:color w:val="auto"/>
        </w:rPr>
      </w:pPr>
    </w:p>
    <w:p>
      <w:pPr>
        <w:ind w:left="490" w:hanging="490"/>
        <w:spacing w:after="0"/>
        <w:tabs>
          <w:tab w:leader="none" w:pos="4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5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Page 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0" w:right="339" w:bottom="1440" w:gutter="0" w:footer="0" w:header="0"/>
        </w:sectPr>
      </w:pPr>
    </w:p>
    <w:bookmarkStart w:id="9" w:name="page10"/>
    <w:bookmarkEnd w:id="9"/>
    <w:p>
      <w:pPr>
        <w:jc w:val="both"/>
        <w:ind w:left="660" w:hanging="490"/>
        <w:spacing w:after="0" w:line="25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means service as an Employee, Director, Non-Employee Director or Contractor. A Participant’s Service does not terminate if he or she is an Employee and goes on a bona fide leave of absence that was approved by the Company in writing and the terms of the leave provide for continued service crediting, or when continued service crediting is required by applicable law. However, for purposes of determining whether an Option is entitled to continuing ISO status, an Employee’s Service will be treated as terminating 90 days after such Employee went on leave, unless such Employee’s right to return to active work is guaranteed by law or by a contract. Service terminates in any event when the approved leave ends, unless such Employee immediately returns to active work. Further, unless otherwise determined by the Committee, a Participant’s Service will not terminate merely because of a change in the capacity in which the Participant provides service to the Company, a Parent, Subsidiary or Affiliate, or a transfer between entities (the Company or any Parent, Subsidiary, or Affiliate); provided that there is no interruption or other termination of Service. Except as otherwise determined by the Committee, upon any transaction or event that results in a Subsidiary ceasing to be an affiliate of the Company, any Participant of such Subsidiary on or following such event shall be treated as incurring a termination of employment or service with the Company for purposes of this Plan and the Awards granted hereunder.</w:t>
      </w:r>
    </w:p>
    <w:p>
      <w:pPr>
        <w:spacing w:after="0" w:line="218"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one share of Common Stock.</w:t>
      </w:r>
    </w:p>
    <w:p>
      <w:pPr>
        <w:spacing w:after="0" w:line="279"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awarded under the Plan.</w:t>
      </w:r>
    </w:p>
    <w:p>
      <w:pPr>
        <w:spacing w:after="0" w:line="279"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Grant</w:t>
      </w:r>
      <w:r>
        <w:rPr>
          <w:rFonts w:ascii="Times New Roman" w:cs="Times New Roman" w:eastAsia="Times New Roman" w:hAnsi="Times New Roman"/>
          <w:sz w:val="18"/>
          <w:szCs w:val="18"/>
          <w:color w:val="auto"/>
        </w:rPr>
        <w:t>” means Shares awarded under the Plan.</w:t>
      </w:r>
    </w:p>
    <w:p>
      <w:pPr>
        <w:spacing w:after="0" w:line="279"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Grant Agreement</w:t>
      </w:r>
      <w:r>
        <w:rPr>
          <w:rFonts w:ascii="Times New Roman" w:cs="Times New Roman" w:eastAsia="Times New Roman" w:hAnsi="Times New Roman"/>
          <w:sz w:val="18"/>
          <w:szCs w:val="18"/>
          <w:color w:val="auto"/>
        </w:rPr>
        <w:t>” means the agreement described in Section 8 evidencing a Stock Grant.</w:t>
      </w:r>
    </w:p>
    <w:p>
      <w:pPr>
        <w:spacing w:after="0" w:line="279"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Option Agreement</w:t>
      </w:r>
      <w:r>
        <w:rPr>
          <w:rFonts w:ascii="Times New Roman" w:cs="Times New Roman" w:eastAsia="Times New Roman" w:hAnsi="Times New Roman"/>
          <w:sz w:val="18"/>
          <w:szCs w:val="18"/>
          <w:color w:val="auto"/>
        </w:rPr>
        <w:t>” means the agreement described in Section 6 evidencing an Option.</w:t>
      </w:r>
    </w:p>
    <w:p>
      <w:pPr>
        <w:spacing w:after="0" w:line="279"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Unit</w:t>
      </w:r>
      <w:r>
        <w:rPr>
          <w:rFonts w:ascii="Times New Roman" w:cs="Times New Roman" w:eastAsia="Times New Roman" w:hAnsi="Times New Roman"/>
          <w:sz w:val="18"/>
          <w:szCs w:val="18"/>
          <w:color w:val="auto"/>
        </w:rPr>
        <w:t>” means a bookkeeping entry representing the equivalent of one Share awarded under the Plan.</w:t>
      </w:r>
    </w:p>
    <w:p>
      <w:pPr>
        <w:spacing w:after="0" w:line="279"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Unit Agreement</w:t>
      </w:r>
      <w:r>
        <w:rPr>
          <w:rFonts w:ascii="Times New Roman" w:cs="Times New Roman" w:eastAsia="Times New Roman" w:hAnsi="Times New Roman"/>
          <w:sz w:val="18"/>
          <w:szCs w:val="18"/>
          <w:color w:val="auto"/>
        </w:rPr>
        <w:t>” means the agreement described in Section 9 evidencing a Stock Unit.</w:t>
      </w:r>
    </w:p>
    <w:p>
      <w:pPr>
        <w:spacing w:after="0" w:line="279"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65" w:lineRule="exact"/>
        <w:rPr>
          <w:rFonts w:ascii="Times New Roman" w:cs="Times New Roman" w:eastAsia="Times New Roman" w:hAnsi="Times New Roman"/>
          <w:sz w:val="18"/>
          <w:szCs w:val="18"/>
          <w:color w:val="auto"/>
        </w:rPr>
      </w:pPr>
    </w:p>
    <w:p>
      <w:pPr>
        <w:ind w:left="660" w:hanging="490"/>
        <w:spacing w:after="0" w:line="245" w:lineRule="exact"/>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10</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Percent Stockholder</w:t>
      </w:r>
      <w:r>
        <w:rPr>
          <w:rFonts w:ascii="Times New Roman" w:cs="Times New Roman" w:eastAsia="Times New Roman" w:hAnsi="Times New Roman"/>
          <w:sz w:val="18"/>
          <w:szCs w:val="18"/>
          <w:color w:val="auto"/>
        </w:rPr>
        <w:t>” means an individual who owns more than 10% of the total combined voting power of all classes of outstanding stock of the Company, its Parent or any of its Subsidiaries. In determining stock ownership, the attribution rules of Code Section 424(d) shall be applied.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ADMINISTRATION</w:t>
      </w:r>
    </w:p>
    <w:p>
      <w:pPr>
        <w:spacing w:after="0" w:line="225" w:lineRule="exact"/>
        <w:rPr>
          <w:sz w:val="20"/>
          <w:szCs w:val="20"/>
          <w:color w:val="auto"/>
        </w:rPr>
      </w:pPr>
    </w:p>
    <w:p>
      <w:pPr>
        <w:jc w:val="both"/>
        <w:ind w:left="660" w:hanging="490"/>
        <w:spacing w:after="0" w:line="25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Composition</w:t>
      </w:r>
      <w:r>
        <w:rPr>
          <w:rFonts w:ascii="Times New Roman" w:cs="Times New Roman" w:eastAsia="Times New Roman" w:hAnsi="Times New Roman"/>
          <w:sz w:val="18"/>
          <w:szCs w:val="18"/>
          <w:color w:val="auto"/>
        </w:rPr>
        <w:t>. The Board (or its duly authorized delegee) shall administer the Plan. The Board shall generally have membership composition which enables Awards to Section 16 Persons to qualify as exempt from liability under Section 16(b) of the Exchange Act. However, the Board may from time to time delegate to a committee of one or more members of the Board, and the Board or such Committee may from time to time delegate to one or more officers of the Company, the authority to grant or amend Awards or to take other administrative actions with respect to Participants who are not Section 16 Persons. Members of any such Committee shall serve for such period of time as the Board may determine and shall be subject to removal by the Board at any time. The Board or Committee may also at any time terminate the functions of any delegee thereof and reassume all powers and authority previously delegated to such body. Notwithstanding the foregoing, the Board shall administer the Plan with respect to all Awards granted to Non-Employee Directors. The Board and any Committee appointed to administer the plan is referred to herein as the “Committee”.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ind w:left="660" w:hanging="490"/>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of the Committee</w:t>
      </w:r>
      <w:r>
        <w:rPr>
          <w:rFonts w:ascii="Times New Roman" w:cs="Times New Roman" w:eastAsia="Times New Roman" w:hAnsi="Times New Roman"/>
          <w:sz w:val="18"/>
          <w:szCs w:val="18"/>
          <w:color w:val="auto"/>
        </w:rPr>
        <w:t>. Subject to the provisions of the Plan, the Committee shall have the full authority, in its sole discretion, to take any actions it deems necessary or advisable for the administration of the Plan. Such actions shall include: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Key Service Providers who are to receive Awards under the Plan;</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type, number, vesting requirements and other features and conditions of such Awards;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any outstanding Awards;</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the vesting, or extending the post-termination exercise term, of Awards at any time and under such terms and conditions as it deems appropriate;</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interpreting the Plan and any Award Agreement;</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correcting any defect, supplying any omission or reconciling any inconsistency in the Plan or any Award Agreement;</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such rules or guidelines as it deems appropriate to implement the Plan;</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all other decisions relating to the operation of the Plan; and</w:t>
      </w:r>
    </w:p>
    <w:p>
      <w:pPr>
        <w:spacing w:after="0" w:line="2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such plans or subplans as may be deemed necessary or appropriate to provide for the participation by employees of the Company, its Parent, Subsidiaries and Affiliates who reside outside of the U.S., which plans and/or subplans shall be attached hereto as Appendices.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Committee’s determinations under the Plan shall be final and binding on all persons.</w:t>
      </w:r>
    </w:p>
    <w:p>
      <w:pPr>
        <w:spacing w:after="0" w:line="225" w:lineRule="exact"/>
        <w:rPr>
          <w:sz w:val="20"/>
          <w:szCs w:val="20"/>
          <w:color w:val="auto"/>
        </w:rPr>
      </w:pPr>
    </w:p>
    <w:p>
      <w:pPr>
        <w:jc w:val="both"/>
        <w:ind w:left="660" w:hanging="490"/>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maximum extent permitted by applicable law and the Company’s certificate of incorporation, bylaws and other governing documents, each member of the Committee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Agreement, and (ii) from any and all amounts paid by him or her in settlement thereof, with the Company’s approval, or paid by him or her in satisfaction of any judgment in any such claim,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by contract, as a matter of law, or otherwise, or under any power that the Company may have to indemnify them or hold them harmless.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 GENERAL</w:t>
      </w:r>
    </w:p>
    <w:p>
      <w:pPr>
        <w:spacing w:after="0" w:line="225" w:lineRule="exact"/>
        <w:rPr>
          <w:sz w:val="20"/>
          <w:szCs w:val="20"/>
          <w:color w:val="auto"/>
        </w:rPr>
      </w:pPr>
    </w:p>
    <w:p>
      <w:pPr>
        <w:ind w:left="660" w:hanging="490"/>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Eligibility</w:t>
      </w:r>
      <w:r>
        <w:rPr>
          <w:rFonts w:ascii="Times New Roman" w:cs="Times New Roman" w:eastAsia="Times New Roman" w:hAnsi="Times New Roman"/>
          <w:sz w:val="18"/>
          <w:szCs w:val="18"/>
          <w:color w:val="auto"/>
        </w:rPr>
        <w:t>. Only Employees, Directors, Non-Employee Directors and Contractors shall be eligible to participate in the Plan.</w:t>
      </w:r>
    </w:p>
    <w:p>
      <w:pPr>
        <w:spacing w:after="0" w:line="279" w:lineRule="exact"/>
        <w:rPr>
          <w:rFonts w:ascii="Times New Roman" w:cs="Times New Roman" w:eastAsia="Times New Roman" w:hAnsi="Times New Roman"/>
          <w:sz w:val="18"/>
          <w:szCs w:val="18"/>
          <w:color w:val="auto"/>
        </w:rPr>
      </w:pPr>
    </w:p>
    <w:p>
      <w:pPr>
        <w:jc w:val="both"/>
        <w:ind w:left="660" w:hanging="490"/>
        <w:spacing w:after="0" w:line="222" w:lineRule="exact"/>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Only Key Service Providers who are Employees of the Company, a Parent or a Subsidiary shall be eligible for the grant of ISOs. In addition, a Key Service Provider who is a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Percent Stockholder shall not be eligible for the grant of an ISO unless the requirements set forth in Code Section 422(c)(5) are satisfied.</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ind w:left="660" w:hanging="490"/>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Shares</w:t>
      </w:r>
      <w:r>
        <w:rPr>
          <w:rFonts w:ascii="Times New Roman" w:cs="Times New Roman" w:eastAsia="Times New Roman" w:hAnsi="Times New Roman"/>
          <w:sz w:val="18"/>
          <w:szCs w:val="18"/>
          <w:color w:val="auto"/>
        </w:rPr>
        <w:t>. Any Shares issued pursuant to an Award shall be subject to such vesting conditions, rights of repurchase, rights of first refusal and other transfer restrictions as the Committee may determine, in its sole discretion; provided, that in no event may any award be transferred for consideration to a third-party financial institution. Such restrictions shall apply in addition to any restrictions that may apply to holders of Shares generally and shall also comply to the extent necessary with applicable law. In no event shall the Company be required to issue fractional Shares under this Plan.</w:t>
      </w:r>
    </w:p>
    <w:p>
      <w:pPr>
        <w:spacing w:after="0" w:line="183" w:lineRule="exact"/>
        <w:rPr>
          <w:rFonts w:ascii="Times New Roman" w:cs="Times New Roman" w:eastAsia="Times New Roman" w:hAnsi="Times New Roman"/>
          <w:sz w:val="18"/>
          <w:szCs w:val="18"/>
          <w:color w:val="auto"/>
        </w:rPr>
      </w:pPr>
    </w:p>
    <w:p>
      <w:pPr>
        <w:jc w:val="both"/>
        <w:ind w:left="660" w:hanging="490"/>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Unless stated otherwise in an Award Agreement and then only to the extent permitted by applicable law, a Participant may designate one or more beneficiaries with respect to an Award 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pacing w:after="0" w:line="210"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Conditions</w:t>
      </w:r>
      <w:r>
        <w:rPr>
          <w:rFonts w:ascii="Times New Roman" w:cs="Times New Roman" w:eastAsia="Times New Roman" w:hAnsi="Times New Roman"/>
          <w:sz w:val="18"/>
          <w:szCs w:val="18"/>
          <w:color w:val="auto"/>
        </w:rPr>
        <w:t>. The Committee may, in its discretion, include performance conditions in an Award.</w:t>
      </w:r>
    </w:p>
    <w:p>
      <w:pPr>
        <w:spacing w:after="0" w:line="279"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A Participant, or a transferee of a Participant, shall have no rights as a stockholder with respect to any Common Stock covered by an Award until such person has satisfied all of the terms and conditions to receive such Common Stock, has satisfied any applicable withholding or tax obligations relating to the Award and the Shares have been issued (as evidenced by an appropriate entry on the books of the Company or a duly authorized transfer agent of the Company).</w:t>
      </w:r>
    </w:p>
    <w:p>
      <w:pPr>
        <w:spacing w:after="0" w:line="206" w:lineRule="exact"/>
        <w:rPr>
          <w:rFonts w:ascii="Times New Roman" w:cs="Times New Roman" w:eastAsia="Times New Roman" w:hAnsi="Times New Roman"/>
          <w:sz w:val="18"/>
          <w:szCs w:val="18"/>
          <w:color w:val="auto"/>
        </w:rPr>
      </w:pPr>
    </w:p>
    <w:p>
      <w:pPr>
        <w:jc w:val="both"/>
        <w:ind w:left="660" w:hanging="490"/>
        <w:spacing w:after="0" w:line="25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Unless the applicable Award Agreement or, with respect to a Participant who resides in the U.S., the applicable employment agreement provides otherwise, the following rules shall govern the vesting, exercisability and term of outstanding Awards held by a Participant in the event of termination of such Participant’s Service (in all cases subject to the maximum term of the Option and/or SAR as applicable): (i) upon a termination of Service for any reason, all unvested portions of any outstanding Awards shall be immediately forfeited without consideration; (ii) if Service is terminated for Cause, then all unexercised Options and/or SARs, unsettled portions of Stock Units and unvested portions of Stock Grants shall terminate, and/or be forfeited immediately without consideration; (iii) if Service is terminated for any reason other than for Cause, death or Disability, then the vested portion of his or her then-outstanding Options and/or SARs may be exercised by such Participant or his or her personal representative within ninety (90) days (inclusive) after the date of such termination; or (iv) if Service is terminated due to death or Disability, the vested portion of his or her then-outstanding Options and/or SARs may be exercised within six</w:t>
      </w:r>
    </w:p>
    <w:p>
      <w:pPr>
        <w:spacing w:after="0" w:line="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months (inclusive) after the date of such termination.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 SHARES SUBJECT TO PLAN AND SHARE LIMITS</w:t>
      </w:r>
    </w:p>
    <w:p>
      <w:pPr>
        <w:spacing w:after="0" w:line="225" w:lineRule="exact"/>
        <w:rPr>
          <w:sz w:val="20"/>
          <w:szCs w:val="20"/>
          <w:color w:val="auto"/>
        </w:rPr>
      </w:pPr>
    </w:p>
    <w:p>
      <w:pPr>
        <w:jc w:val="both"/>
        <w:ind w:left="660" w:hanging="490"/>
        <w:spacing w:after="0" w:line="25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Basic Limitation</w:t>
      </w:r>
      <w:r>
        <w:rPr>
          <w:rFonts w:ascii="Times New Roman" w:cs="Times New Roman" w:eastAsia="Times New Roman" w:hAnsi="Times New Roman"/>
          <w:sz w:val="18"/>
          <w:szCs w:val="18"/>
          <w:color w:val="auto"/>
        </w:rPr>
        <w:t>. The stock issuable under the Plan shall be authorized but unissued Shares or treasury Shares. Subject to adjustment as set forth hereinafter and pursuant to Section 10, the aggregate number of Shares reserved for Awards under the Plan is 16,200,000 Shares, plus up to 3,500,000 Shares previously issued under the Company’s 2001 Stock Option Plan (the “2001 Plan”) that are forfeited or repurchased by the Company or Shares subject to awards previously issued under the 2001 Plan that expire or that terminate without having been exercised or settled in full on or after November 16, 2011. In case of Awards other than Options or SARs, the aggregate number of Shares reserved under the Plan shall be decreased at a rate of 1.33 per Share issued pursuant to such Awards.</w:t>
      </w:r>
    </w:p>
    <w:p>
      <w:pPr>
        <w:spacing w:after="0" w:line="214" w:lineRule="exact"/>
        <w:rPr>
          <w:rFonts w:ascii="Times New Roman" w:cs="Times New Roman" w:eastAsia="Times New Roman" w:hAnsi="Times New Roman"/>
          <w:sz w:val="18"/>
          <w:szCs w:val="18"/>
          <w:color w:val="auto"/>
        </w:rPr>
      </w:pPr>
    </w:p>
    <w:p>
      <w:pPr>
        <w:jc w:val="both"/>
        <w:ind w:left="660" w:hanging="490"/>
        <w:spacing w:after="0" w:line="25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If Awards are forfeited or are terminated for any reason before vesting or being exercised, then the Shares underlying such Awards shall again become available for Awards under the Plan (for purposes of clarity, if the Share reserve is reduced by 1.33 Shares per Share subject to Awards granted under the Plan other than Options or SARs, then the Share reserve shall be increased by 1.33 times the number of Shares subject to such Awards that are so forfeited or terminated). Further, if Shares acquired pursuant to any such Award are forfeited to or repurchased by the Company, such Shares shall return to the Plan and again be available for issuance pursuant to the Plan, provided that, in the case of Awards other than Options or SARs, 1.33 times the number of Shares so forfeited or repurchased will return to the Plan and will again become available for issuance. Shares tendered by a Participant or withheld by the Company to satisfy any tax withholding obligation with respect to Awards other than Options or Stock Appreciation Rights will again be available for issuance under the Plan (for purposes of clarity, the Share reserve shall be increased by 1.33 times the number of Shares subject to such Awards that are so tendered or withheld). SARs to be settled in Shares shall be counted in full against the number of Shares available for issuance under the Plan, regardless of the number of Shares issued upon settlement of the SARs. Notwithstanding the foregoing, Shares subject to an Award under this Plan may not again be made available for issuance under this Plan if such Shares are: (i) shares that were subject to a stock-settled SAR and were not issued upon the net settlement or net exercise of such SAR, (ii) shares used to pay the exercise or purchase price of an Option or Stock Appreciation Right, (iii) shares delivered to or withheld by the Company to pay the withholding taxes related to an Option or Stock Appreciation Right, or (iv) shares repurchased on the open market with the proceeds of an Option exercise. Notwithstanding the foregoing, any dividend equivalents settled in cash distributed under the Plan or Awards settled in cash shall not reduce the number of Shares available for Awards.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660" w:hanging="490"/>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Limitations.</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Options</w:t>
      </w:r>
      <w:r>
        <w:rPr>
          <w:rFonts w:ascii="Times New Roman" w:cs="Times New Roman" w:eastAsia="Times New Roman" w:hAnsi="Times New Roman"/>
          <w:sz w:val="18"/>
          <w:szCs w:val="18"/>
          <w:color w:val="auto"/>
        </w:rPr>
        <w:t>. No Key Service Provider shall receive Options during any Fiscal Year covering in excess of 1,000,000 Shares, subject to adjustment pursuant to Section 10. The aggregate maximum number of Shares that may be issued in connection with ISOs shall be 1,000,000 Shares, subject to adjustment pursuant to Section 10.</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SARs</w:t>
      </w:r>
      <w:r>
        <w:rPr>
          <w:rFonts w:ascii="Times New Roman" w:cs="Times New Roman" w:eastAsia="Times New Roman" w:hAnsi="Times New Roman"/>
          <w:sz w:val="18"/>
          <w:szCs w:val="18"/>
          <w:color w:val="auto"/>
        </w:rPr>
        <w:t>. No Key Service Provider shall receive SARs during any Fiscal Year covering in excess of 1,000,000 Shares, subject to adjustment pursuant to Section 10.</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Stock Grants and Stock Units</w:t>
      </w:r>
      <w:r>
        <w:rPr>
          <w:rFonts w:ascii="Times New Roman" w:cs="Times New Roman" w:eastAsia="Times New Roman" w:hAnsi="Times New Roman"/>
          <w:sz w:val="18"/>
          <w:szCs w:val="18"/>
          <w:color w:val="auto"/>
        </w:rPr>
        <w:t>. No Key Service Provider shall receive Stock Grants or Stock Units during any Fiscal Year covering, in the aggregate, in excess of 1,000,000 Shares, subject to adjustment pursuant to Section 10.</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Dividends and Dividend Equivalents on Unvested Awards.</w:t>
      </w:r>
      <w:r>
        <w:rPr>
          <w:rFonts w:ascii="Times New Roman" w:cs="Times New Roman" w:eastAsia="Times New Roman" w:hAnsi="Times New Roman"/>
          <w:sz w:val="18"/>
          <w:szCs w:val="18"/>
          <w:color w:val="auto"/>
        </w:rPr>
        <w:t xml:space="preserve"> Dividends and dividend equivalents will not be paid or settled with respect to any Award granted under the Plan until the underlying shares or units vest, and no dividend equivalents or otherwise may be credited with respect to Options and Stock Appreciation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TERMS AND CONDITIONS OF OPTIONS</w:t>
      </w:r>
    </w:p>
    <w:p>
      <w:pPr>
        <w:spacing w:after="0" w:line="225" w:lineRule="exact"/>
        <w:rPr>
          <w:sz w:val="20"/>
          <w:szCs w:val="20"/>
          <w:color w:val="auto"/>
        </w:rPr>
      </w:pPr>
    </w:p>
    <w:p>
      <w:pPr>
        <w:jc w:val="both"/>
        <w:ind w:left="660" w:hanging="490"/>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Agreement</w:t>
      </w:r>
      <w:r>
        <w:rPr>
          <w:rFonts w:ascii="Times New Roman" w:cs="Times New Roman" w:eastAsia="Times New Roman" w:hAnsi="Times New Roman"/>
          <w:sz w:val="18"/>
          <w:szCs w:val="18"/>
          <w:color w:val="auto"/>
        </w:rPr>
        <w:t>. Each Option granted under the Plan shall be evidenced and governed exclusively by a Stock Option Agreement between the Optionee and the Company, which will generally be delivered online by the Company or its designated third-party broker and accepted online by the Optionee. Such Option shall be subject to all applicable terms and conditions of the Plan and may be subject to any other terms and conditions that are not inconsistent with the Plan and that the Committee deems appropriate for inclusion in a Stock Option Agreement. The provisions of the various Stock Option Agreements entered into under the Plan need not be identical. The Stock Option Agreement shall specify whether the Option is an ISO or an NSO.</w:t>
      </w:r>
    </w:p>
    <w:p>
      <w:pPr>
        <w:spacing w:after="0" w:line="214" w:lineRule="exact"/>
        <w:rPr>
          <w:rFonts w:ascii="Times New Roman" w:cs="Times New Roman" w:eastAsia="Times New Roman" w:hAnsi="Times New Roman"/>
          <w:sz w:val="18"/>
          <w:szCs w:val="18"/>
          <w:color w:val="auto"/>
        </w:rPr>
      </w:pPr>
    </w:p>
    <w:p>
      <w:pPr>
        <w:ind w:left="660" w:right="20" w:hanging="490"/>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Each Stock Option Agreement shall specify the number of Shares that are subject to the Option, which number is subject to adjustment in accordance with Section 10.</w:t>
      </w:r>
    </w:p>
    <w:p>
      <w:pPr>
        <w:spacing w:after="0" w:line="188" w:lineRule="exact"/>
        <w:rPr>
          <w:rFonts w:ascii="Times New Roman" w:cs="Times New Roman" w:eastAsia="Times New Roman" w:hAnsi="Times New Roman"/>
          <w:sz w:val="18"/>
          <w:szCs w:val="18"/>
          <w:color w:val="auto"/>
        </w:rPr>
      </w:pPr>
    </w:p>
    <w:p>
      <w:pPr>
        <w:jc w:val="both"/>
        <w:ind w:left="660" w:hanging="490"/>
        <w:spacing w:after="0" w:line="232" w:lineRule="exact"/>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Each Stock Option Agreement shall specify the Option’s Exercise Price which shall be established by the Committee and is subject to adjustment in accordance with Section 10. The Exercise Price of an Option shall not be less than 100% of the Fair Market Value (110% for an ISO granted to a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Percent Stockholder) on the date of grant.</w:t>
      </w:r>
    </w:p>
    <w:p>
      <w:pPr>
        <w:spacing w:after="0" w:line="197" w:lineRule="exact"/>
        <w:rPr>
          <w:rFonts w:ascii="Times New Roman" w:cs="Times New Roman" w:eastAsia="Times New Roman" w:hAnsi="Times New Roman"/>
          <w:sz w:val="18"/>
          <w:szCs w:val="18"/>
          <w:color w:val="auto"/>
        </w:rPr>
      </w:pPr>
    </w:p>
    <w:p>
      <w:pPr>
        <w:jc w:val="both"/>
        <w:ind w:left="660" w:hanging="490"/>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and Term</w:t>
      </w:r>
      <w:r>
        <w:rPr>
          <w:rFonts w:ascii="Times New Roman" w:cs="Times New Roman" w:eastAsia="Times New Roman" w:hAnsi="Times New Roman"/>
          <w:sz w:val="18"/>
          <w:szCs w:val="18"/>
          <w:color w:val="auto"/>
        </w:rPr>
        <w:t>. Each Stock Option Agreement shall specify the date when all or any installment of the Option is to become exercisable and may include performance conditions or Performance Goals pursuant to Section 4(e). The Stock Option Agreement shall also specify the maximum term of the Option; provided that the maximum term of an Option shall in no event exceed ten (10) years from the date of grant. A Stock Option Agreement may provide for accelerated vesting in the event of the Participant’s death, Disability or other events. Notwithstanding any other provision of the Plan or the Stock Option Agreement, no Option can be exercised after the expiration date provided in the applicable Stock Option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660" w:right="20" w:hanging="490"/>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Option Shares</w:t>
      </w:r>
      <w:r>
        <w:rPr>
          <w:rFonts w:ascii="Times New Roman" w:cs="Times New Roman" w:eastAsia="Times New Roman" w:hAnsi="Times New Roman"/>
          <w:sz w:val="18"/>
          <w:szCs w:val="18"/>
          <w:color w:val="auto"/>
        </w:rPr>
        <w:t>. The Exercise Price of an Option shall be paid in cash at the time of exercise, except as follows and if so provided for in the applicable Stock Option Agreement: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Stock</w:t>
      </w:r>
      <w:r>
        <w:rPr>
          <w:rFonts w:ascii="Times New Roman" w:cs="Times New Roman" w:eastAsia="Times New Roman" w:hAnsi="Times New Roman"/>
          <w:sz w:val="18"/>
          <w:szCs w:val="18"/>
          <w:color w:val="auto"/>
        </w:rPr>
        <w:t>. Payment of all or any part of the Exercise Price may be made with Shares which have already been owned by the Optionee; provided that the Committee may, in its sole discretion, require that Shares tendered for payment be previously held by the Optionee for a minimum duration (e.g., to avoid financial accounting charges to the Company’s earnings).</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Payment of all or a part of the Exercise Price may be made through Cashless Exercise.</w:t>
      </w:r>
    </w:p>
    <w:p>
      <w:pPr>
        <w:spacing w:after="0" w:line="2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Forms of Payment</w:t>
      </w:r>
      <w:r>
        <w:rPr>
          <w:rFonts w:ascii="Times New Roman" w:cs="Times New Roman" w:eastAsia="Times New Roman" w:hAnsi="Times New Roman"/>
          <w:sz w:val="18"/>
          <w:szCs w:val="18"/>
          <w:color w:val="auto"/>
        </w:rPr>
        <w:t>. Payment may be made in any other form that is consistent with applicable laws, regulations and rules and approved by the Committee.</w:t>
      </w:r>
    </w:p>
    <w:p>
      <w:pPr>
        <w:spacing w:after="0" w:line="162" w:lineRule="exact"/>
        <w:rPr>
          <w:sz w:val="20"/>
          <w:szCs w:val="20"/>
          <w:color w:val="auto"/>
        </w:rPr>
      </w:pPr>
    </w:p>
    <w:p>
      <w:pPr>
        <w:jc w:val="both"/>
        <w:ind w:left="820" w:right="20"/>
        <w:spacing w:after="0" w:line="266" w:lineRule="auto"/>
        <w:rPr>
          <w:sz w:val="20"/>
          <w:szCs w:val="20"/>
          <w:color w:val="auto"/>
        </w:rPr>
      </w:pPr>
      <w:r>
        <w:rPr>
          <w:rFonts w:ascii="Times New Roman" w:cs="Times New Roman" w:eastAsia="Times New Roman" w:hAnsi="Times New Roman"/>
          <w:sz w:val="18"/>
          <w:szCs w:val="18"/>
          <w:color w:val="auto"/>
        </w:rPr>
        <w:t>In the case of an ISO granted under the Plan, except to the extent permitted by applicable law, payment shall be made only pursuant to the express provisions of the applicable Stock Option Agreement. In the case of an NSO granted under the Plan, the Committee may, in its discretion at any time, accept payment in any form(s) described in this Section 6(e).</w:t>
      </w:r>
    </w:p>
    <w:p>
      <w:pPr>
        <w:spacing w:after="0" w:line="176" w:lineRule="exact"/>
        <w:rPr>
          <w:sz w:val="20"/>
          <w:szCs w:val="20"/>
          <w:color w:val="auto"/>
        </w:rPr>
      </w:pPr>
    </w:p>
    <w:p>
      <w:pPr>
        <w:jc w:val="both"/>
        <w:ind w:left="660" w:hanging="490"/>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or Assumption of Options</w:t>
      </w:r>
      <w:r>
        <w:rPr>
          <w:rFonts w:ascii="Times New Roman" w:cs="Times New Roman" w:eastAsia="Times New Roman" w:hAnsi="Times New Roman"/>
          <w:sz w:val="18"/>
          <w:szCs w:val="18"/>
          <w:color w:val="auto"/>
        </w:rPr>
        <w:t>. Within the limitations of the Plan, the Committee may modify, extend or assume outstanding options or may accept the cancellation of outstanding options (whether granted by the Company or by another issuer) in return for the grant of new Options for the same or a different number of Shares and at the same or a different Exercise Price. Notwithstanding the preceding sentence or anything to the contrary, no modification of an Option shall, without the consent of the Optionee, impair his or her rights or obligations under such Option and, unless there is approval by the Company stockholders, the Committee may not Re-Price outstanding Options.</w:t>
      </w:r>
    </w:p>
    <w:p>
      <w:pPr>
        <w:spacing w:after="0" w:line="210" w:lineRule="exact"/>
        <w:rPr>
          <w:rFonts w:ascii="Times New Roman" w:cs="Times New Roman" w:eastAsia="Times New Roman" w:hAnsi="Times New Roman"/>
          <w:sz w:val="18"/>
          <w:szCs w:val="18"/>
          <w:color w:val="auto"/>
        </w:rPr>
      </w:pPr>
    </w:p>
    <w:p>
      <w:pPr>
        <w:jc w:val="both"/>
        <w:ind w:left="660" w:hanging="490"/>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or Transfer of Options</w:t>
      </w:r>
      <w:r>
        <w:rPr>
          <w:rFonts w:ascii="Times New Roman" w:cs="Times New Roman" w:eastAsia="Times New Roman" w:hAnsi="Times New Roman"/>
          <w:sz w:val="18"/>
          <w:szCs w:val="18"/>
          <w:color w:val="auto"/>
        </w:rPr>
        <w:t>. Except as otherwise provided in the applicable Stock Option Agreement and then only to the extent such transfer is otherwise permitted by applicable law and is not a transfer for value (unless such transfer for value is approved in advance by the Company’s stockholders), no Option shall be transferable by the Optionee other than by will or by the laws of descent and distribution provided, that in no event may any award be transferred for consideration to a third-party financial institution. Except as otherwise provided in the applicable Stock Option Agreement, an Option may be exercised during the lifetime of the Optionee only or by the guardian or legal representative of the Optionee. No Option or interest therein may be assigned, pledged or hypothecated by the Optionee during his or her lifetime, whether by operation of law or otherwise, or be made subject to execution, attachment or similar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 TERMS AND CONDITIONS OF STOCK APPRECIATION RIGHTS</w:t>
      </w:r>
    </w:p>
    <w:p>
      <w:pPr>
        <w:spacing w:after="0" w:line="225" w:lineRule="exact"/>
        <w:rPr>
          <w:sz w:val="20"/>
          <w:szCs w:val="20"/>
          <w:color w:val="auto"/>
        </w:rPr>
      </w:pPr>
    </w:p>
    <w:p>
      <w:pPr>
        <w:jc w:val="both"/>
        <w:ind w:left="660" w:hanging="490"/>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 Agreement</w:t>
      </w:r>
      <w:r>
        <w:rPr>
          <w:rFonts w:ascii="Times New Roman" w:cs="Times New Roman" w:eastAsia="Times New Roman" w:hAnsi="Times New Roman"/>
          <w:sz w:val="18"/>
          <w:szCs w:val="18"/>
          <w:color w:val="auto"/>
        </w:rPr>
        <w:t>. Each SAR granted under the Plan shall be evidenced by a SAR Agreement between the Participant and the Company, which will generally be delivered online by the Company or its designated third-party broker and accepted online by the Participant. Such SAR shall be subject to all applicable terms of the Plan and may be subject to any other terms that are not inconsistent with the Plan. A SAR Agreement may provide for a maximum limit on the amount of any payout notwithstanding the Fair Market Value on the date of exercise of the SAR. The provisions of the various SAR Agreements entered into under the Plan need not be identical. SARs may be granted in consideration of a reduction in the Participant’s compensation.</w:t>
      </w:r>
    </w:p>
    <w:p>
      <w:pPr>
        <w:spacing w:after="0" w:line="214" w:lineRule="exact"/>
        <w:rPr>
          <w:rFonts w:ascii="Times New Roman" w:cs="Times New Roman" w:eastAsia="Times New Roman" w:hAnsi="Times New Roman"/>
          <w:sz w:val="18"/>
          <w:szCs w:val="18"/>
          <w:color w:val="auto"/>
        </w:rPr>
      </w:pPr>
    </w:p>
    <w:p>
      <w:pPr>
        <w:ind w:left="660" w:right="20" w:hanging="490"/>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Each SAR Agreement shall specify the number of Shares to which the SAR pertains, which number is subject to adjustment in accordance with Section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left="660" w:hanging="490"/>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Each SAR Agreement shall specify the Exercise Price, which is subject to adjustment in accordance with Section 10. A SAR Agreement may specify an Exercise Price that varies in accordance with a predetermined formula while the SAR is outstanding. The Exercise Price of a SAR shall not be less than 100% of the Fair Market Value on the date of grant.</w:t>
      </w:r>
    </w:p>
    <w:p>
      <w:pPr>
        <w:spacing w:after="0" w:line="202" w:lineRule="exact"/>
        <w:rPr>
          <w:rFonts w:ascii="Times New Roman" w:cs="Times New Roman" w:eastAsia="Times New Roman" w:hAnsi="Times New Roman"/>
          <w:sz w:val="18"/>
          <w:szCs w:val="18"/>
          <w:color w:val="auto"/>
        </w:rPr>
      </w:pPr>
    </w:p>
    <w:p>
      <w:pPr>
        <w:jc w:val="both"/>
        <w:ind w:left="660" w:hanging="490"/>
        <w:spacing w:after="0" w:line="25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and Term</w:t>
      </w:r>
      <w:r>
        <w:rPr>
          <w:rFonts w:ascii="Times New Roman" w:cs="Times New Roman" w:eastAsia="Times New Roman" w:hAnsi="Times New Roman"/>
          <w:sz w:val="18"/>
          <w:szCs w:val="18"/>
          <w:color w:val="auto"/>
        </w:rPr>
        <w:t>. Each SAR Agreement, to which such agreement refers, shall specify the date when all or any installment of the SAR is to become exercisable and may include performance conditions or Performance Goals pursuant to Section 4(e). The SAR Agreement shall also specify the maximum term of the SAR which shall not exceed ten (10) years from the date of grant. A SAR Agreement may provide for accelerated exercisability in the event of the Participant’s death, Disability, or other events. SARs may be awarded in combination with Options or Stock Grants, and such an Award shall provide that the SARs will not be exercisable unless the related Options or Stock Grants are forfeited. A SAR may be included in an ISO only at the time of grant but may be included in an NSO at the time of grant or at any subsequent time, but not later than six months before the expiration of such NSO. Notwithstanding any other provision of the Plan or the SAR Agreement, no SAR can be exercised after the expiration date provided in the applicable SAR Agreement.</w:t>
      </w:r>
    </w:p>
    <w:p>
      <w:pPr>
        <w:spacing w:after="0" w:line="218" w:lineRule="exact"/>
        <w:rPr>
          <w:rFonts w:ascii="Times New Roman" w:cs="Times New Roman" w:eastAsia="Times New Roman" w:hAnsi="Times New Roman"/>
          <w:sz w:val="18"/>
          <w:szCs w:val="18"/>
          <w:color w:val="auto"/>
        </w:rPr>
      </w:pPr>
    </w:p>
    <w:p>
      <w:pPr>
        <w:jc w:val="both"/>
        <w:ind w:left="660" w:hanging="490"/>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If, on the date when a SAR expires, the Exercise Price under such SAR is less than the Fair Market Value on such date but any vested portion of such SAR has not been exercised or surrendered, then such SAR shall automatically be deemed to be exercised as of such date with respect to such vested portion. Upon exercise of a SAR, the Participant (or any person having the right to exercise the SAR after Participant’s death) shall receive from the Company (i) Shares, (ii) cash or (iii) any combination of Shares and cash, as the Committee shall determine at the time of grant of the SAR, in its sole discretion. The amount of cash and/or the Fair Market Value of Shares received upon exercise of SARs shall, in the aggregate, be equal to the amount by which the Fair Market Value (on the date of surrender) of the Shares subject to the SARs exceeds the Exercise Price of the Shares.</w:t>
      </w:r>
    </w:p>
    <w:p>
      <w:pPr>
        <w:spacing w:after="0" w:line="215" w:lineRule="exact"/>
        <w:rPr>
          <w:rFonts w:ascii="Times New Roman" w:cs="Times New Roman" w:eastAsia="Times New Roman" w:hAnsi="Times New Roman"/>
          <w:sz w:val="18"/>
          <w:szCs w:val="18"/>
          <w:color w:val="auto"/>
        </w:rPr>
      </w:pPr>
    </w:p>
    <w:p>
      <w:pPr>
        <w:jc w:val="both"/>
        <w:ind w:left="660" w:hanging="490"/>
        <w:spacing w:after="0" w:line="25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or Assumption of SARs</w:t>
      </w:r>
      <w:r>
        <w:rPr>
          <w:rFonts w:ascii="Times New Roman" w:cs="Times New Roman" w:eastAsia="Times New Roman" w:hAnsi="Times New Roman"/>
          <w:sz w:val="18"/>
          <w:szCs w:val="18"/>
          <w:color w:val="auto"/>
        </w:rPr>
        <w:t>. Within the limitations of the Plan, the Committee may modify, extend, or assume outstanding SARs or may accept the cancellation of outstanding stock appreciation rights (including stock appreciation rights granted by another issuer) in return for the grant of new SARs for the same or a different number of Shares and at the same or a different Exercise Price. Notwithstanding the preceding sentence or anything to the contrary, no modification of a SAR shall, without the consent of the Participant, impair his or her rights or obligations under such SAR and, unless there is approval by the Company stockholders, the Committee may not Re-Price outstanding SARs.</w:t>
      </w:r>
    </w:p>
    <w:p>
      <w:pPr>
        <w:spacing w:after="0" w:line="210" w:lineRule="exact"/>
        <w:rPr>
          <w:rFonts w:ascii="Times New Roman" w:cs="Times New Roman" w:eastAsia="Times New Roman" w:hAnsi="Times New Roman"/>
          <w:sz w:val="18"/>
          <w:szCs w:val="18"/>
          <w:color w:val="auto"/>
        </w:rPr>
      </w:pPr>
    </w:p>
    <w:p>
      <w:pPr>
        <w:jc w:val="both"/>
        <w:ind w:left="660" w:hanging="490"/>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or Transfer of SARs</w:t>
      </w:r>
      <w:r>
        <w:rPr>
          <w:rFonts w:ascii="Times New Roman" w:cs="Times New Roman" w:eastAsia="Times New Roman" w:hAnsi="Times New Roman"/>
          <w:sz w:val="18"/>
          <w:szCs w:val="18"/>
          <w:color w:val="auto"/>
        </w:rPr>
        <w:t>. Except as otherwise provided in the applicable SAR Agreement and then only to the extent such transfer is otherwise permitted by applicable law and is not a transfer for value (unless such transfer for value is approved in advance by the Company’s stockholders), no SAR shall be transferable by the Participant other than by will or by the laws of descent and distribution; provided, that in no event may any award be transferred for consideration to a third-party financial institution. Except as otherwise provided in the applicable SAR Agreement, a SAR may be exercised during the lifetime of the Participant only or by the guardian or legal representative of the Participant. No SAR or interest therein may be assigned, pledged or hypothecated by the Participant during his or her lifetime, whether by operation of law or otherwise, or be made subject to execution, attachment or similar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TERMS AND CONDITIONS FOR STOCK GRANTS</w:t>
      </w:r>
    </w:p>
    <w:p>
      <w:pPr>
        <w:spacing w:after="0" w:line="225" w:lineRule="exact"/>
        <w:rPr>
          <w:sz w:val="20"/>
          <w:szCs w:val="20"/>
          <w:color w:val="auto"/>
        </w:rPr>
      </w:pPr>
    </w:p>
    <w:p>
      <w:pPr>
        <w:ind w:left="660" w:hanging="490"/>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Amount and Form of Awards</w:t>
      </w:r>
      <w:r>
        <w:rPr>
          <w:rFonts w:ascii="Times New Roman" w:cs="Times New Roman" w:eastAsia="Times New Roman" w:hAnsi="Times New Roman"/>
          <w:sz w:val="18"/>
          <w:szCs w:val="18"/>
          <w:color w:val="auto"/>
        </w:rPr>
        <w:t>. Awards under this Section 8 may be granted in the form of a Stock Grant.</w:t>
      </w:r>
    </w:p>
    <w:p>
      <w:pPr>
        <w:spacing w:after="0" w:line="279" w:lineRule="exact"/>
        <w:rPr>
          <w:rFonts w:ascii="Times New Roman" w:cs="Times New Roman" w:eastAsia="Times New Roman" w:hAnsi="Times New Roman"/>
          <w:sz w:val="18"/>
          <w:szCs w:val="18"/>
          <w:color w:val="auto"/>
        </w:rPr>
      </w:pPr>
    </w:p>
    <w:p>
      <w:pPr>
        <w:jc w:val="both"/>
        <w:ind w:left="660" w:hanging="490"/>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Grant Agreement</w:t>
      </w:r>
      <w:r>
        <w:rPr>
          <w:rFonts w:ascii="Times New Roman" w:cs="Times New Roman" w:eastAsia="Times New Roman" w:hAnsi="Times New Roman"/>
          <w:sz w:val="18"/>
          <w:szCs w:val="18"/>
          <w:color w:val="auto"/>
        </w:rPr>
        <w:t>. Each Stock Grant awarded under the Plan shall be evidenced and governed exclusively by a Stock Grant Agreement between the Participant and the Company, which will generally be delivered online by the Company or its designated third-party broker and accepted online by the Participant. Each Stock Grant shall be subject to all applicable terms and conditions of the Plan and may be subject to any other terms and conditions that are not inconsistent with the Plan that the Committee deems appropriate for inclusion in the applicable Stock Grant Agreement. The provisions of the Stock Grant Agreements entered into under the Plan need not be identical.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left="660" w:hanging="490"/>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Stock Grants</w:t>
      </w:r>
      <w:r>
        <w:rPr>
          <w:rFonts w:ascii="Times New Roman" w:cs="Times New Roman" w:eastAsia="Times New Roman" w:hAnsi="Times New Roman"/>
          <w:sz w:val="18"/>
          <w:szCs w:val="18"/>
          <w:color w:val="auto"/>
        </w:rPr>
        <w:t>. Stock Grants may be issued with or without cash consideration under the Plan.</w:t>
      </w:r>
    </w:p>
    <w:p>
      <w:pPr>
        <w:spacing w:after="0" w:line="279" w:lineRule="exact"/>
        <w:rPr>
          <w:rFonts w:ascii="Times New Roman" w:cs="Times New Roman" w:eastAsia="Times New Roman" w:hAnsi="Times New Roman"/>
          <w:sz w:val="18"/>
          <w:szCs w:val="18"/>
          <w:color w:val="auto"/>
        </w:rPr>
      </w:pPr>
    </w:p>
    <w:p>
      <w:pPr>
        <w:jc w:val="both"/>
        <w:ind w:left="660" w:right="20" w:hanging="490"/>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Each Stock Grant may or may not be subject to vesting. Vesting shall occur, in full or in installments, upon satisfaction of the conditions specified in the Stock Grant Agreement which may include performance conditions or Performance Goals pursuant to Section 4(e). A Stock Grant Agreement may provide for accelerated vesting in the event of the Participant’s death, Disability, or other events.</w:t>
      </w:r>
    </w:p>
    <w:p>
      <w:pPr>
        <w:spacing w:after="0" w:line="202" w:lineRule="exact"/>
        <w:rPr>
          <w:rFonts w:ascii="Times New Roman" w:cs="Times New Roman" w:eastAsia="Times New Roman" w:hAnsi="Times New Roman"/>
          <w:sz w:val="18"/>
          <w:szCs w:val="18"/>
          <w:color w:val="auto"/>
        </w:rPr>
      </w:pPr>
    </w:p>
    <w:p>
      <w:pPr>
        <w:jc w:val="both"/>
        <w:ind w:left="660" w:hanging="490"/>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or Transfer of Stock Grants</w:t>
      </w:r>
      <w:r>
        <w:rPr>
          <w:rFonts w:ascii="Times New Roman" w:cs="Times New Roman" w:eastAsia="Times New Roman" w:hAnsi="Times New Roman"/>
          <w:sz w:val="18"/>
          <w:szCs w:val="18"/>
          <w:color w:val="auto"/>
        </w:rPr>
        <w:t>. Except as otherwise provided in the applicable Stock Grant Agreement and then only to the extent such transfer is otherwise permitted by applicable law and is not a transfer for value (unless such transfer for value is approved in advance by the Company’s stockholders), no unvested Stock Grant shall be transferable other than by will or by the laws of descent and distribution; provided, that in no event may any award be transferred for consideration to a third-party financial institution. Except as otherwise provided in the applicable Stock Grant Agreement, no unvested Stock Grant or interest therein may be anticipated, assigned, attached, garnished, optioned, transferred or made subject to any creditor’s process, whether voluntarily, involuntarily or by operation of law. Any act in violation of this Section 8(e) shall be void.</w:t>
      </w:r>
    </w:p>
    <w:p>
      <w:pPr>
        <w:spacing w:after="0" w:line="215"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and Dividend Rights</w:t>
      </w:r>
      <w:r>
        <w:rPr>
          <w:rFonts w:ascii="Times New Roman" w:cs="Times New Roman" w:eastAsia="Times New Roman" w:hAnsi="Times New Roman"/>
          <w:sz w:val="18"/>
          <w:szCs w:val="18"/>
          <w:color w:val="auto"/>
        </w:rPr>
        <w:t>. The holder of a Stock Grant awarded under the Plan will be credited with all dividends and other distributions that are paid by the Company on an equivalent number of Shares that are not subject to such restrictions. Any such dividends and other distributions shall be distributed only if, when and to the extent the related Shares vest. Dividends and other distributions credited with respect to any Shares that do not vest shall be forfeited.</w:t>
      </w:r>
    </w:p>
    <w:p>
      <w:pPr>
        <w:spacing w:after="0" w:line="206"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or Assumption of Stock Grants</w:t>
      </w:r>
      <w:r>
        <w:rPr>
          <w:rFonts w:ascii="Times New Roman" w:cs="Times New Roman" w:eastAsia="Times New Roman" w:hAnsi="Times New Roman"/>
          <w:sz w:val="18"/>
          <w:szCs w:val="18"/>
          <w:color w:val="auto"/>
        </w:rPr>
        <w:t>. Within the limitations of the Plan, the Committee may modify or assume outstanding Stock Grants or may accept the cancellation of outstanding stock grants (including stock granted by another issuer) in return for the grant of new Stock Grants for the same or a different number of Shares. Notwithstanding the preceding sentence or anything to the contrary, no modification of a Stock Grant shall, without the consent of the Participant, impair his or her rights or obligations under such Stock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 TERMS AND CONDITIONS OF STOCK UNITS</w:t>
      </w:r>
    </w:p>
    <w:p>
      <w:pPr>
        <w:spacing w:after="0" w:line="225" w:lineRule="exact"/>
        <w:rPr>
          <w:sz w:val="20"/>
          <w:szCs w:val="20"/>
          <w:color w:val="auto"/>
        </w:rPr>
      </w:pPr>
    </w:p>
    <w:p>
      <w:pPr>
        <w:jc w:val="both"/>
        <w:ind w:left="660" w:hanging="490"/>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Unit Agreement</w:t>
      </w:r>
      <w:r>
        <w:rPr>
          <w:rFonts w:ascii="Times New Roman" w:cs="Times New Roman" w:eastAsia="Times New Roman" w:hAnsi="Times New Roman"/>
          <w:sz w:val="18"/>
          <w:szCs w:val="18"/>
          <w:color w:val="auto"/>
        </w:rPr>
        <w:t>. Each Stock Unit granted under the Plan shall be evidenced by a Stock Unit Agreement between the Participant and the Company, which will generally be delivered online by the Company or its designated third-party broker and accepted online by the Participant. Such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Participant’s other compensation.</w:t>
      </w:r>
    </w:p>
    <w:p>
      <w:pPr>
        <w:spacing w:after="0" w:line="210"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Each Stock Unit Agreement shall specify the number of Shares to which the Stock Unit pertains, which number is subject to adjustment in accordance with Section 10.</w:t>
      </w:r>
    </w:p>
    <w:p>
      <w:pPr>
        <w:spacing w:after="0" w:line="188"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Awards</w:t>
      </w:r>
      <w:r>
        <w:rPr>
          <w:rFonts w:ascii="Times New Roman" w:cs="Times New Roman" w:eastAsia="Times New Roman" w:hAnsi="Times New Roman"/>
          <w:sz w:val="18"/>
          <w:szCs w:val="18"/>
          <w:color w:val="auto"/>
        </w:rPr>
        <w:t>. To the extent that an Award is granted in the form of Stock Units, no cash consideration shall be required of the Award recipients.</w:t>
      </w:r>
    </w:p>
    <w:p>
      <w:pPr>
        <w:spacing w:after="0" w:line="188"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Conditions</w:t>
      </w:r>
      <w:r>
        <w:rPr>
          <w:rFonts w:ascii="Times New Roman" w:cs="Times New Roman" w:eastAsia="Times New Roman" w:hAnsi="Times New Roman"/>
          <w:sz w:val="18"/>
          <w:szCs w:val="18"/>
          <w:color w:val="auto"/>
        </w:rPr>
        <w:t>. Each Stock Unit may or may not be subject to vesting. Vesting shall occur, in full or in installments, upon satisfaction of the conditions specified in the Stock Unit Agreement which may include performance conditions or Performance Goals pursuant to Section 4(e). A Stock Unit Agreement may provide for accelerated vesting in the event of the Participant’s death, Disability, or other events.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left="660" w:hanging="490"/>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Time of Settlement of Stock Units</w:t>
      </w:r>
      <w:r>
        <w:rPr>
          <w:rFonts w:ascii="Times New Roman" w:cs="Times New Roman" w:eastAsia="Times New Roman" w:hAnsi="Times New Roman"/>
          <w:sz w:val="18"/>
          <w:szCs w:val="18"/>
          <w:color w:val="auto"/>
        </w:rPr>
        <w:t>. Settlement of vested Stock Units may be made in the form of (a) cash, (b) Shares or (c) any combination of both, as determined by the Committee at the time of the grant of the Stock Units, in its sole discretion. Methods of converting Stock Units into cash may include (without limitation) a method based on the average Fair Market Value of Shares over a series of trading days. Vested Stock Units may be settled in a lump sum or in installments. The distribution may occur or commence when the vesting conditions applicable to the Stock Units have been satisfied or have lapsed, or it may be deferred, in accordance with applicable law, to any later date. The amount of a deferred distribution may be increased by an interest factor or by dividend equivalents.</w:t>
      </w:r>
    </w:p>
    <w:p>
      <w:pPr>
        <w:spacing w:after="0" w:line="187" w:lineRule="exact"/>
        <w:rPr>
          <w:rFonts w:ascii="Times New Roman" w:cs="Times New Roman" w:eastAsia="Times New Roman" w:hAnsi="Times New Roman"/>
          <w:sz w:val="18"/>
          <w:szCs w:val="18"/>
          <w:color w:val="auto"/>
        </w:rPr>
      </w:pPr>
    </w:p>
    <w:p>
      <w:pPr>
        <w:jc w:val="both"/>
        <w:ind w:left="660" w:hanging="490"/>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and Dividend Rights</w:t>
      </w:r>
      <w:r>
        <w:rPr>
          <w:rFonts w:ascii="Times New Roman" w:cs="Times New Roman" w:eastAsia="Times New Roman" w:hAnsi="Times New Roman"/>
          <w:sz w:val="18"/>
          <w:szCs w:val="18"/>
          <w:color w:val="auto"/>
        </w:rPr>
        <w:t>. The Committee may, in its sole discretion, provide that dividend equivalents will be credited in connection with the grant of Stock Units that may be settled in cash, in Shares of equivalent value, or in some combination thereof. Any dividend equivalents credited with respect to Stock Units shall be equal in value to the dividends and other distributions that are paid by the Company on an equivalent number of Shares and shall be settled in cash or Shares to the Participant (with or without interest or other earnings, as provided at the discretion of the Committee) only if, when and to the extent the related Stock Units vest. Dividend equivalents credited with respect to any Stock Unit that does not vest shall be forfeited.</w:t>
      </w:r>
    </w:p>
    <w:p>
      <w:pPr>
        <w:spacing w:after="0" w:line="214"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Creditors’ Rights</w:t>
      </w:r>
      <w:r>
        <w:rPr>
          <w:rFonts w:ascii="Times New Roman" w:cs="Times New Roman" w:eastAsia="Times New Roman" w:hAnsi="Times New Roman"/>
          <w:sz w:val="18"/>
          <w:szCs w:val="18"/>
          <w:color w:val="auto"/>
        </w:rPr>
        <w:t>. A holder of Stock Units shall have no rights other than those of a general creditor of the Company. Stock Units represent an unfunded and unsecured obligation of the Company, subject to the terms and conditions of the applicable Stock Unit Agreement.</w:t>
      </w:r>
    </w:p>
    <w:p>
      <w:pPr>
        <w:spacing w:after="0" w:line="188"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or Assumption of Stock Units</w:t>
      </w:r>
      <w:r>
        <w:rPr>
          <w:rFonts w:ascii="Times New Roman" w:cs="Times New Roman" w:eastAsia="Times New Roman" w:hAnsi="Times New Roman"/>
          <w:sz w:val="18"/>
          <w:szCs w:val="18"/>
          <w:color w:val="auto"/>
        </w:rPr>
        <w:t>. Within the limitations of the Plan, the Committee may modify or assume outstanding Stock Units or may accept the cancellation of outstanding stock units (including stock units granted by another issuer) in return for the grant of new Stock Units for the same or a different number of Shares. Notwithstanding the preceding sentence or anything to the contrary, no modification of a Stock Unit shall, without the consent of the Participant, impair his or her rights or obligations under such Stock Unit.</w:t>
      </w:r>
    </w:p>
    <w:p>
      <w:pPr>
        <w:spacing w:after="0" w:line="206" w:lineRule="exact"/>
        <w:rPr>
          <w:rFonts w:ascii="Times New Roman" w:cs="Times New Roman" w:eastAsia="Times New Roman" w:hAnsi="Times New Roman"/>
          <w:sz w:val="18"/>
          <w:szCs w:val="18"/>
          <w:color w:val="auto"/>
        </w:rPr>
      </w:pPr>
    </w:p>
    <w:p>
      <w:pPr>
        <w:jc w:val="both"/>
        <w:ind w:left="660" w:hanging="490"/>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or Transfer of Stock Units</w:t>
      </w:r>
      <w:r>
        <w:rPr>
          <w:rFonts w:ascii="Times New Roman" w:cs="Times New Roman" w:eastAsia="Times New Roman" w:hAnsi="Times New Roman"/>
          <w:sz w:val="18"/>
          <w:szCs w:val="18"/>
          <w:color w:val="auto"/>
        </w:rPr>
        <w:t>. Except as provided in the applicable Stock Unit Agreement and then only to the extent such transfer is otherwise permitted by applicable law and is not a transfer for value (unless such transfer for value is approved in advance by the Company’s stockholders), Stock Units shall not be transferable other than by will or by the laws of descent and distribution ; provided, that in no event may any award be transferred for consideration to a third-party financial institution. Except as otherwise provided in the applicable Stock Unit Agreement, no Stock Unit or interest therein may be anticipated, assigned, attached, garnished, optioned, transferred or made subject to any creditor’s process, whether voluntarily, involuntarily or by operation of law. Any act in violation of this Section 9(i) shall be void.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 PROTECTION AGAINST DILUTION</w:t>
      </w:r>
    </w:p>
    <w:p>
      <w:pPr>
        <w:spacing w:after="0" w:line="225" w:lineRule="exact"/>
        <w:rPr>
          <w:sz w:val="20"/>
          <w:szCs w:val="20"/>
          <w:color w:val="auto"/>
        </w:rPr>
      </w:pPr>
    </w:p>
    <w:p>
      <w:pPr>
        <w:jc w:val="both"/>
        <w:ind w:left="660" w:hanging="490"/>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 subdivision of the outstanding Shares, a declaration of a dividend payable in Shares, a declaration of a dividend payable in a form other than Shares in an amount that has a material effect on the price of Shares, a combination or consolidation of the outstanding Shares (by reclassification or otherwise) into a lesser number of Shares, a recapitalization, a spin-off or a similar occurrence, the Committee shall make such adjustments as it, in its sole discretion, deems appropriate in one or more of:</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the kind of shares or securities available for future Awards under Section 5;</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limits on Awards specified in Section 5;</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the kind of shares or securities covered by each outstanding Award; or</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each outstanding SAR or Option.</w:t>
      </w:r>
    </w:p>
    <w:p>
      <w:pPr>
        <w:spacing w:after="0" w:line="252" w:lineRule="exact"/>
        <w:rPr>
          <w:rFonts w:ascii="Times New Roman" w:cs="Times New Roman" w:eastAsia="Times New Roman" w:hAnsi="Times New Roman"/>
          <w:sz w:val="18"/>
          <w:szCs w:val="18"/>
          <w:color w:val="auto"/>
        </w:rPr>
      </w:pPr>
    </w:p>
    <w:p>
      <w:pPr>
        <w:jc w:val="both"/>
        <w:ind w:left="660" w:hanging="490"/>
        <w:spacing w:after="0" w:line="25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Rights</w:t>
      </w:r>
      <w:r>
        <w:rPr>
          <w:rFonts w:ascii="Times New Roman" w:cs="Times New Roman" w:eastAsia="Times New Roman" w:hAnsi="Times New Roman"/>
          <w:sz w:val="18"/>
          <w:szCs w:val="18"/>
          <w:color w:val="auto"/>
        </w:rPr>
        <w:t>. Except as provided in this Section 10,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 If by reason of an adjustment pursuant to this Section 10 a Participant’s Award covers additional or different shares of stock or securities, then such additional or different shares and the Award in respect thereof shall be subject to all of the terms, conditions and restrictions which were applicable to the Award and the Shares subject to the Award prior to such adjustment.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both"/>
        <w:ind w:left="660" w:hanging="490"/>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Any adjustment of Shares pursuant to this Section 10 shall be rounded down to the nearest whole number of Shares. Under no circumstances shall the Company be required to authorize or issue fractional shares and no consideration shall be provided as a result of any fractional shares not being issued or authorized.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 EFFECT OF A CHANGE IN CONTROL</w:t>
      </w:r>
    </w:p>
    <w:p>
      <w:pPr>
        <w:spacing w:after="0" w:line="225" w:lineRule="exact"/>
        <w:rPr>
          <w:sz w:val="20"/>
          <w:szCs w:val="20"/>
          <w:color w:val="auto"/>
        </w:rPr>
      </w:pPr>
    </w:p>
    <w:p>
      <w:pPr>
        <w:jc w:val="both"/>
        <w:ind w:left="660" w:hanging="490"/>
        <w:spacing w:after="0" w:line="253"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Except as set forth in an Award Agreement, in the event of a Change in Control, if the successor corporation does not continue, assume, or substitute for outstanding Awards, the Participants will fully vest in all of their outstanding and unvested Awards and have the right to exercise all of their outstanding Options and SARs, including Shares as to which such Awards would not otherwise be vested or exercisable, and, with respect to Awards with performance-based vesting, all Performance Goals or other vesting criteria will be deemed achieved at one hundred percent (100%) of target levels and all other terms and conditions met. In addition, if an Option or SAR is not continued, assumed, or substituted in the event of a Change in Control, the Company will notify the Participant in writing or electronically that such Award shall be fully exercisable for a period of fifteen (15) days from the date of such notice, contingent upon the occurrence of the Change in Control, and such Award shall terminate upon the expiration of such period. In the event an Award continues in effect or is assumed or an equivalent Award substituted, and a Participant’s Service is terminated by the Company or one of its Subsidiaries without Cause upon or within twenty-four (24) months following the Change in Control, then such Participant shall be fully vested in such continued, assumed, or substituted Award.</w:t>
      </w:r>
    </w:p>
    <w:p>
      <w:pPr>
        <w:spacing w:after="0" w:line="221"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To the extent not previously exercised or settled, Options, SARs and Stock Units shall terminate immediately prior to the dissolution or liquidation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 LIMITATIONS ON RIGHTS</w:t>
      </w:r>
    </w:p>
    <w:p>
      <w:pPr>
        <w:spacing w:after="0" w:line="225" w:lineRule="exact"/>
        <w:rPr>
          <w:sz w:val="20"/>
          <w:szCs w:val="20"/>
          <w:color w:val="auto"/>
        </w:rPr>
      </w:pPr>
    </w:p>
    <w:p>
      <w:pPr>
        <w:jc w:val="both"/>
        <w:ind w:left="660" w:hanging="490"/>
        <w:spacing w:after="0" w:line="253"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 Rights</w:t>
      </w:r>
      <w:r>
        <w:rPr>
          <w:rFonts w:ascii="Times New Roman" w:cs="Times New Roman" w:eastAsia="Times New Roman" w:hAnsi="Times New Roman"/>
          <w:sz w:val="18"/>
          <w:szCs w:val="18"/>
          <w:color w:val="auto"/>
        </w:rPr>
        <w:t>. A Participant’s rights, if any, in respect of or in connection with any Award is derived solely from the discretionary decision of the Company to permit the individual to participate in the Plan and to benefit from a discretionary Award. By accepting an Award under the Plan, a Participant expressly acknowledges that there is no obligation on the part of the Company to continue the Plan and/or grant any additional Awards. Any Award granted hereunder is not intended to be compensation of a continuing or recurring nature, or part of a Participant’s normal or expected compensation, and in no way represents any portion of a Participant’s salary, compensation, or other remuneration for purposes of pension benefits, severance, redundancy, resignation or any other purpose. Neither the Plan nor any Award granted under the Plan shall be deemed to give any individual a right to remain an employee, consultant or director of the Company, a Parent, a Subsidiary or an Affiliate. The Company and its Parent, Subsidiaries and Affiliates reserve the right to terminate the Service of any person at any time, and for any reason, subject to applicable laws, the Company’s Articles of Incorporation and Bylaws and any applicable written employment agreement (if any), and such terminated person shall be deemed irrevocably to have waived any claim to damages or specific performance for breach of contract or dismissal, compensation for loss of office, tort or otherwise with respect to the Plan or any outstanding Award that is forfeited and/or is terminated by its terms or to any future Award.</w:t>
      </w:r>
    </w:p>
    <w:p>
      <w:pPr>
        <w:spacing w:after="0" w:line="216"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Rights</w:t>
      </w:r>
      <w:r>
        <w:rPr>
          <w:rFonts w:ascii="Times New Roman" w:cs="Times New Roman" w:eastAsia="Times New Roman" w:hAnsi="Times New Roman"/>
          <w:sz w:val="18"/>
          <w:szCs w:val="18"/>
          <w:color w:val="auto"/>
        </w:rPr>
        <w:t>. Except as provided in Section 9(f), a Participant shall have no dividend rights, voting rights or other rights as a stockholder with respect to any Shares covered by his or her Award prior to the issuance of such Shares (as evidenced by an appropriate entry on the books of the Company or a duly authorized transfer agent of the Company). No adjustment shall be made for cash dividends or other rights for which the record date is prior to the date when such Shares are issued, except as expressly provided in Sections 9(f) and 10.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left="660" w:hanging="490"/>
        <w:spacing w:after="0" w:line="253"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 and Company Policies; Compensation Recovery</w:t>
      </w:r>
      <w:r>
        <w:rPr>
          <w:rFonts w:ascii="Times New Roman" w:cs="Times New Roman" w:eastAsia="Times New Roman" w:hAnsi="Times New Roman"/>
          <w:sz w:val="18"/>
          <w:szCs w:val="18"/>
          <w:color w:val="auto"/>
        </w:rPr>
        <w:t>. For the avoidance of doubt, each Participant must comply with applicable law, the Company’s Code of Ethics, and the Company’s corporate policies, as applicable, including without limitation the Company’s Compensation Recovery Policy. Notwithstanding anything to the contrary herein, (i) compliance with applicable law, the Company’s Code of Ethics, and the Company’s corporate policies, as applicable, will be a pre-condition to earning, or vesting in, any Award under this Plan and (ii) any Awards under this Plan which are subject to the Company’s Compensation Recovery Policy may be reduced, cancelled, forfeited, rescinded, or recouped even if already granted, paid, or settled.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permits, the Plan and all Award Agreements will be deemed amended as necessary to conform to applicable law. Applicable law includes, without limitation: (a) provisions of the Code, the Securities Act, the Exchange Act and any rules or regulations thereunder; (b) corporate, securities, tax or other laws, statutes, rules, requirements or regulations, whether U.S. or non-U.S. federal, state or local; and (c) rules of any securities exchange or automated quotation system on which the shares of Common Stock are listed, quoted or traded.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 TAXES</w:t>
      </w:r>
    </w:p>
    <w:p>
      <w:pPr>
        <w:spacing w:after="0" w:line="225" w:lineRule="exact"/>
        <w:rPr>
          <w:sz w:val="20"/>
          <w:szCs w:val="20"/>
          <w:color w:val="auto"/>
        </w:rPr>
      </w:pPr>
    </w:p>
    <w:p>
      <w:pPr>
        <w:jc w:val="both"/>
        <w:ind w:left="660" w:hanging="490"/>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 Participant shall make arrangements satisfactory to the Company for the satisfaction of any withholding tax obligations or other required deductions that arise in connection with his or her Award. The Company shall not be required to issue any Shares or make any cash payment under the Plan until such obligations are satisfied.</w:t>
      </w:r>
    </w:p>
    <w:p>
      <w:pPr>
        <w:spacing w:after="0" w:line="202" w:lineRule="exact"/>
        <w:rPr>
          <w:rFonts w:ascii="Times New Roman" w:cs="Times New Roman" w:eastAsia="Times New Roman" w:hAnsi="Times New Roman"/>
          <w:sz w:val="18"/>
          <w:szCs w:val="18"/>
          <w:color w:val="auto"/>
        </w:rPr>
      </w:pPr>
    </w:p>
    <w:p>
      <w:pPr>
        <w:jc w:val="both"/>
        <w:ind w:left="660" w:hanging="490"/>
        <w:spacing w:after="0" w:line="25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Withholding</w:t>
      </w:r>
      <w:r>
        <w:rPr>
          <w:rFonts w:ascii="Times New Roman" w:cs="Times New Roman" w:eastAsia="Times New Roman" w:hAnsi="Times New Roman"/>
          <w:sz w:val="18"/>
          <w:szCs w:val="18"/>
          <w:color w:val="auto"/>
        </w:rPr>
        <w:t>. The Committee may permit a Participant to satisfy all or part of his or her tax obligations by Cashless Exercise, by having the Company withhold all or a portion of any Shares that otherwise would be issued to him or her or by surrendering all or a portion of any Shares that he or she previously acquired; provided that Shares withheld or previously owned Shares that are tendered shall not exceed the amount necessary to satisfy the Company’s tax withholding obligations at the minimum statutory withholding rates, including, but not limited to, U.S. federal and state income taxes, payroll taxes and foreign taxes, if applicable, unless the previously owned Shares have been held for the minimum duration necessary to avoid financial accounting charges under applicable accounting guidance or as otherwise permitted by the Company in its sole and absolute discretion. Any payment of taxes by assigning Shares to the Company may be subject to restrictions, including, but not limited to, any restrictions required by rules of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 MISCELLANEOUS</w:t>
      </w:r>
    </w:p>
    <w:p>
      <w:pPr>
        <w:spacing w:after="0" w:line="225" w:lineRule="exact"/>
        <w:rPr>
          <w:sz w:val="20"/>
          <w:szCs w:val="20"/>
          <w:color w:val="auto"/>
        </w:rPr>
      </w:pPr>
    </w:p>
    <w:p>
      <w:pPr>
        <w:jc w:val="both"/>
        <w:ind w:left="660" w:hanging="490"/>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Amend or Terminate the Plan</w:t>
      </w:r>
      <w:r>
        <w:rPr>
          <w:rFonts w:ascii="Times New Roman" w:cs="Times New Roman" w:eastAsia="Times New Roman" w:hAnsi="Times New Roman"/>
          <w:sz w:val="18"/>
          <w:szCs w:val="18"/>
          <w:color w:val="auto"/>
        </w:rPr>
        <w:t>. The Board may amend or terminate the Plan at any time and for any reason. Any such termination of the Plan, or any amendment thereof, shall not impair any Award previously granted under the Plan. No Awards shall be granted under the Plan after the Plan’s termination. An amendment of the Plan shall be subject to the approval of the Company’s stockholders only to the extent such approval is required by applicable laws, regulations or rules. Further, no Incentive Stock Options may be granted after April 23, 2036, without further stockholder approval.</w:t>
      </w:r>
    </w:p>
    <w:p>
      <w:pPr>
        <w:spacing w:after="0" w:line="210" w:lineRule="exact"/>
        <w:rPr>
          <w:rFonts w:ascii="Times New Roman" w:cs="Times New Roman" w:eastAsia="Times New Roman" w:hAnsi="Times New Roman"/>
          <w:sz w:val="18"/>
          <w:szCs w:val="18"/>
          <w:color w:val="auto"/>
        </w:rPr>
      </w:pPr>
    </w:p>
    <w:p>
      <w:pPr>
        <w:jc w:val="both"/>
        <w:ind w:left="660" w:hanging="490"/>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Plan upon Other Compensation Plans</w:t>
      </w:r>
      <w:r>
        <w:rPr>
          <w:rFonts w:ascii="Times New Roman" w:cs="Times New Roman" w:eastAsia="Times New Roman" w:hAnsi="Times New Roman"/>
          <w:sz w:val="18"/>
          <w:szCs w:val="18"/>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214"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 and Headings, References to Sections of the Code or Exchange Act.</w:t>
      </w:r>
      <w:r>
        <w:rPr>
          <w:rFonts w:ascii="Times New Roman" w:cs="Times New Roman" w:eastAsia="Times New Roman" w:hAnsi="Times New Roman"/>
          <w:sz w:val="18"/>
          <w:szCs w:val="18"/>
          <w:color w:val="auto"/>
        </w:rPr>
        <w:t xml:space="preserve">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left="490" w:hanging="490"/>
        <w:spacing w:after="0" w:line="252" w:lineRule="auto"/>
        <w:tabs>
          <w:tab w:leader="none" w:pos="4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extent that the Committee determines that any Award granted under the Plan is subject to Section 409A, the Plan and the Award Agreement evidencing such Award shall incorporate the terms and conditions required by Section 409A. In that regard, to the extent any Award under the Plan or any other compensatory plan or arrangement of the Company or any of its Subsidiaries is subject to Section 409A, and such Award or other amount is payable on account of a Participant’s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 (i) the expiration of the six-month period measured from the date of the Participant’s termination of Service, or (ii) the date of the Participant’s death. To the extent applicable, the Plan and any Award Agreements shall be interpreted in accordance with Section 409A. Notwithstanding any provision of the Plan to the contrary, in the event that following the Effective Date the Committee determines that any Award may be subject to Section 409A, the Committee may (but is not obligated to), without a Participant’s consent, adopt such amendments to the Plan and Award Agreement or adopt other policies and procedures (including amendments, policies and procedures with retroactive effect), or take any other actions, that the Committee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14(i)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Section 409A.</w:t>
      </w:r>
    </w:p>
    <w:p>
      <w:pPr>
        <w:spacing w:after="0" w:line="217" w:lineRule="exact"/>
        <w:rPr>
          <w:rFonts w:ascii="Times New Roman" w:cs="Times New Roman" w:eastAsia="Times New Roman" w:hAnsi="Times New Roman"/>
          <w:sz w:val="18"/>
          <w:szCs w:val="18"/>
          <w:color w:val="auto"/>
        </w:rPr>
      </w:pPr>
    </w:p>
    <w:p>
      <w:pPr>
        <w:jc w:val="both"/>
        <w:ind w:left="490" w:hanging="490"/>
        <w:spacing w:after="0" w:line="266" w:lineRule="auto"/>
        <w:tabs>
          <w:tab w:leader="none" w:pos="4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Company or any Subsidiary.</w:t>
      </w:r>
    </w:p>
    <w:p>
      <w:pPr>
        <w:spacing w:after="0" w:line="202" w:lineRule="exact"/>
        <w:rPr>
          <w:rFonts w:ascii="Times New Roman" w:cs="Times New Roman" w:eastAsia="Times New Roman" w:hAnsi="Times New Roman"/>
          <w:sz w:val="18"/>
          <w:szCs w:val="18"/>
          <w:color w:val="auto"/>
        </w:rPr>
      </w:pPr>
    </w:p>
    <w:p>
      <w:pPr>
        <w:jc w:val="both"/>
        <w:ind w:left="490" w:hanging="490"/>
        <w:spacing w:after="0" w:line="266" w:lineRule="auto"/>
        <w:tabs>
          <w:tab w:leader="none" w:pos="4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76"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Page 15 of 15</w:t>
      </w:r>
    </w:p>
    <w:p>
      <w:pPr>
        <w:sectPr>
          <w:pgSz w:w="11900" w:h="16838" w:orient="portrait"/>
          <w:cols w:equalWidth="0" w:num="1">
            <w:col w:w="11070"/>
          </w:cols>
          <w:pgMar w:left="490" w:top="58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71750"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PDF Solutions,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Third Amended and Restated</w:t>
      </w:r>
    </w:p>
    <w:p>
      <w:pPr>
        <w:spacing w:after="0"/>
        <w:rPr>
          <w:sz w:val="20"/>
          <w:szCs w:val="20"/>
          <w:color w:val="auto"/>
        </w:rPr>
      </w:pPr>
      <w:r>
        <w:rPr>
          <w:rFonts w:ascii="Times New Roman" w:cs="Times New Roman" w:eastAsia="Times New Roman" w:hAnsi="Times New Roman"/>
          <w:sz w:val="32"/>
          <w:szCs w:val="32"/>
          <w:b w:val="1"/>
          <w:bCs w:val="1"/>
          <w:color w:val="auto"/>
        </w:rPr>
        <w:t>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PURPOSE.</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purpose of this Third Amended and Restated 2021 Employee Stock Purchase Plan (“Plan”) is to provide eligible employees of the Company and its participating Subsidiaries with the opportunity to purchase Common Stock through payroll deductions. The Plan consists of two components: the Section 423 Component and the Non-Section 423 Component. The Section 423 Component is intended to qualify as an “employee stock purchase plan” under Section 423(b)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sub-plans, appendices, rules or procedures as may be adopted by the Committee and designed to achieve tax, securities laws or other objectives for Eligible Employees -and the Employers in locations outside of the United States. Except as otherwise provided herein or determined by the Committee, the Non-Section 423 Component will operate and be administered in the same manner as the Section 423 Component. Offerings intended to be made under the Non-Section 423 Component will be designated as such by the Committee at or prior to the time of such offering.</w:t>
      </w:r>
    </w:p>
    <w:p>
      <w:pPr>
        <w:spacing w:after="0" w:line="19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Plan, the Committee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2.</w:t>
        <w:tab/>
        <w:t>DEFINITIONS.</w:t>
      </w:r>
    </w:p>
    <w:p>
      <w:pPr>
        <w:spacing w:after="0" w:line="229" w:lineRule="exact"/>
        <w:rPr>
          <w:sz w:val="20"/>
          <w:szCs w:val="20"/>
          <w:color w:val="auto"/>
        </w:rPr>
      </w:pPr>
    </w:p>
    <w:p>
      <w:pPr>
        <w:ind w:left="660" w:right="380" w:hanging="485"/>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tab/>
        <w:t>“1934 Act” means the Securities Exchange Act of 1934, as amended. Reference to a specific Section of the 1934 Act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203"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“Board” means the Board of Directors of the Company.</w:t>
      </w:r>
    </w:p>
    <w:p>
      <w:pPr>
        <w:spacing w:after="0" w:line="279" w:lineRule="exact"/>
        <w:rPr>
          <w:sz w:val="20"/>
          <w:szCs w:val="20"/>
          <w:color w:val="auto"/>
        </w:rPr>
      </w:pPr>
    </w:p>
    <w:p>
      <w:pPr>
        <w:ind w:left="660" w:right="140" w:hanging="485"/>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2.3</w:t>
        <w:tab/>
        <w:t>“Change in Control” means an event in which the Company or its stockholders enter into an agreement to dispose of all or substantially all of the assets or outstanding capital stock of the Company by means of a sale, merger or reorganization in which the Company will not be the surviving corporation (other than a reorganization effected primarily to change the jurisdiction in which the Company is incorporated, a merger or consolidation with a wholly- owned Subsidiary, or any other transaction in which there is no substantial change in the stockholders of the Company or their relative stock holdings, regardless of whether the Company is the surviving corporation) or in the event the Company is liquidated.</w:t>
      </w:r>
    </w:p>
    <w:p>
      <w:pPr>
        <w:spacing w:after="0" w:line="214" w:lineRule="exact"/>
        <w:rPr>
          <w:sz w:val="20"/>
          <w:szCs w:val="20"/>
          <w:color w:val="auto"/>
        </w:rPr>
      </w:pPr>
    </w:p>
    <w:p>
      <w:pPr>
        <w:jc w:val="center"/>
        <w:ind w:right="-79"/>
        <w:spacing w:after="0"/>
        <w:tabs>
          <w:tab w:leader="none" w:pos="2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“Code” means the Internal Revenue Code of 1986, as amended. Reference to a specific Section of the Code or regulation thereunder shall include</w:t>
      </w:r>
    </w:p>
    <w:p>
      <w:pPr>
        <w:spacing w:after="0" w:line="27" w:lineRule="exact"/>
        <w:rPr>
          <w:sz w:val="20"/>
          <w:szCs w:val="20"/>
          <w:color w:val="auto"/>
        </w:rPr>
      </w:pPr>
    </w:p>
    <w:p>
      <w:pPr>
        <w:ind w:left="660" w:right="580"/>
        <w:spacing w:after="0" w:line="260" w:lineRule="auto"/>
        <w:rPr>
          <w:sz w:val="20"/>
          <w:szCs w:val="20"/>
          <w:color w:val="auto"/>
        </w:rPr>
      </w:pPr>
      <w:r>
        <w:rPr>
          <w:rFonts w:ascii="Times New Roman" w:cs="Times New Roman" w:eastAsia="Times New Roman" w:hAnsi="Times New Roman"/>
          <w:sz w:val="18"/>
          <w:szCs w:val="18"/>
          <w:color w:val="auto"/>
        </w:rPr>
        <w:t>such Section or regulation, any valid regulation promulgated under such Section, and any comparable provision of any future legislation or regulation amending, supplementing or superseding such Section or regulation.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ind w:left="480" w:right="12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2.5</w:t>
        <w:tab/>
        <w:t>“Committee” shall mean the committee appointed by the Board to administer the Plan. Any member of the Committee may resign at any time by notice in writing mailed or delivered to the Secretary of the Company. As of the effective date of the Plan, the Plan shall be administered by the Compensation and Human Capital Management Committee of the Board.</w:t>
      </w:r>
    </w:p>
    <w:p>
      <w:pPr>
        <w:spacing w:after="0" w:line="20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“Common Stock” means the common stock of the Company.</w:t>
      </w:r>
    </w:p>
    <w:p>
      <w:pPr>
        <w:spacing w:after="0" w:line="27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“Company” means PDF Solutions, Inc.</w:t>
      </w:r>
    </w:p>
    <w:p>
      <w:pPr>
        <w:spacing w:after="0" w:line="279" w:lineRule="exact"/>
        <w:rPr>
          <w:sz w:val="20"/>
          <w:szCs w:val="20"/>
          <w:color w:val="auto"/>
        </w:rPr>
      </w:pPr>
    </w:p>
    <w:p>
      <w:pPr>
        <w:ind w:left="480" w:right="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2.8</w:t>
        <w:tab/>
        <w:t>“Compensation” means a Participant’s regular wages. The Committee, in its discretion, may (on a uniform and nondiscriminatory basis) establish a different definition of Compensation prior to an Enrollment Date for all options to be granted on such Enrollment Date.</w:t>
      </w:r>
    </w:p>
    <w:p>
      <w:pPr>
        <w:spacing w:after="0" w:line="189" w:lineRule="exact"/>
        <w:rPr>
          <w:sz w:val="20"/>
          <w:szCs w:val="20"/>
          <w:color w:val="auto"/>
        </w:rPr>
      </w:pPr>
    </w:p>
    <w:p>
      <w:pPr>
        <w:ind w:left="480" w:hanging="485"/>
        <w:spacing w:after="0" w:line="253" w:lineRule="auto"/>
        <w:tabs>
          <w:tab w:leader="none" w:pos="460" w:val="left"/>
        </w:tabs>
        <w:rPr>
          <w:sz w:val="20"/>
          <w:szCs w:val="20"/>
          <w:color w:val="auto"/>
        </w:rPr>
      </w:pPr>
      <w:r>
        <w:rPr>
          <w:rFonts w:ascii="Times New Roman" w:cs="Times New Roman" w:eastAsia="Times New Roman" w:hAnsi="Times New Roman"/>
          <w:sz w:val="18"/>
          <w:szCs w:val="18"/>
          <w:color w:val="auto"/>
        </w:rPr>
        <w:t>2.9</w:t>
        <w:tab/>
        <w:t>“Eligible Employee” means every Employee of an Employer, except (a) any Employee who immediately after the grant of an option under the Plan, would own stock and/or hold outstanding options to purchase stock possessing five percent (5%) or more of the total combined voting power or value of all classes of stock of the Company or of any Subsidiary of the Company (including stock attributed to such Employee pursuant to Section 424(d) of the Code), or (b) as provided in the following sentence. The Committee, in its discretion, from time to time may, prior to an Enrollment Date for all options to be granted on such Enrollment Date, determine (on a uniform and nondiscriminatory basis) that an Employee shall not be an Eligible Employee if he or she: (1) has not completed at least two years of service since his or her last hire date (or such lesser period of time as may be determined by the Committee in its discretion), (2) customarily works not more than 20 hours per week (or such lesser period of time as may be determined by the Committee in its discretion), or (3) customarily works not more than 5 months per calendar year (or such lesser period of time as may be determined by the Committee in its discretion). Notwithstanding the foregoing, with respect to the Non-Section 423 Component, (a) the Committee may limit eligibility further within an Employer so as to designate only some Employees of the Employer as Eligible Employees and (b) to the extent any restrictions in this definition are not consistent with applicable local laws, the applicable local laws shall control.</w:t>
      </w:r>
    </w:p>
    <w:p>
      <w:pPr>
        <w:spacing w:after="0" w:line="217" w:lineRule="exact"/>
        <w:rPr>
          <w:sz w:val="20"/>
          <w:szCs w:val="20"/>
          <w:color w:val="auto"/>
        </w:rPr>
      </w:pPr>
    </w:p>
    <w:p>
      <w:pPr>
        <w:ind w:left="480" w:right="4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2.10</w:t>
        <w:tab/>
        <w:t>“Employee” means an individual who is a common-law employee of any Employer, whether such employee is so employed at the time the Plan is adopted or becomes so employed subsequent to the adoption of the Plan.</w:t>
      </w:r>
    </w:p>
    <w:p>
      <w:pPr>
        <w:spacing w:after="0" w:line="189" w:lineRule="exact"/>
        <w:rPr>
          <w:sz w:val="20"/>
          <w:szCs w:val="20"/>
          <w:color w:val="auto"/>
        </w:rPr>
      </w:pPr>
    </w:p>
    <w:p>
      <w:pPr>
        <w:ind w:left="480" w:right="40" w:hanging="485"/>
        <w:spacing w:after="0" w:line="258" w:lineRule="auto"/>
        <w:tabs>
          <w:tab w:leader="none" w:pos="460" w:val="left"/>
        </w:tabs>
        <w:rPr>
          <w:sz w:val="20"/>
          <w:szCs w:val="20"/>
          <w:color w:val="auto"/>
        </w:rPr>
      </w:pPr>
      <w:r>
        <w:rPr>
          <w:rFonts w:ascii="Times New Roman" w:cs="Times New Roman" w:eastAsia="Times New Roman" w:hAnsi="Times New Roman"/>
          <w:sz w:val="18"/>
          <w:szCs w:val="18"/>
          <w:color w:val="auto"/>
        </w:rPr>
        <w:t>2.11</w:t>
        <w:tab/>
        <w:t>“Employer” or “Employers” means any one or all of the Company, and those Subsidiaries that the Board has approved/designated to participate in the Plan. An Employer may participate in either the Section 423 Component or Non-Section 423 Component, but not both in respect of Employees. If a Subsidiary is disregarded for U.S. tax purposes in respect of any Employer participating in the Non-Section 423 Component, the Committee may exclude such Subsidiary from participating in the Plan, notwithstanding that the Employer in respect of which such Subsidiary is disregarded may participate in the Plan.</w:t>
      </w:r>
    </w:p>
    <w:p>
      <w:pPr>
        <w:spacing w:after="0" w:line="210" w:lineRule="exact"/>
        <w:rPr>
          <w:sz w:val="20"/>
          <w:szCs w:val="20"/>
          <w:color w:val="auto"/>
        </w:rPr>
      </w:pPr>
    </w:p>
    <w:p>
      <w:pPr>
        <w:ind w:left="480" w:right="34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2.12</w:t>
        <w:tab/>
        <w:t>“Enrollment Date” means such dates as may be determined by the Committee (in its discretion and on a uniform and nondiscriminatory basis) from time to time.</w:t>
      </w:r>
    </w:p>
    <w:p>
      <w:pPr>
        <w:spacing w:after="0" w:line="18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color w:val="auto"/>
        </w:rPr>
        <w:t>“Grant Date” means any date on which a Participant is granted an option under the Plan.</w:t>
      </w:r>
    </w:p>
    <w:p>
      <w:pPr>
        <w:spacing w:after="0" w:line="279" w:lineRule="exact"/>
        <w:rPr>
          <w:sz w:val="20"/>
          <w:szCs w:val="20"/>
          <w:color w:val="auto"/>
        </w:rPr>
      </w:pPr>
    </w:p>
    <w:p>
      <w:pPr>
        <w:ind w:left="480" w:right="24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2.14</w:t>
        <w:tab/>
        <w:t>“Non-Section 423 Component” means offerings under the Plan, together with the sub-plans, appendices, rules or procedures, if any, adopted by the Committee as a part of this Plan, in each case, pursuant to which options may be granted to Eligible Employees that need not satisfy the requirements for options granted pursuant to an “employee stock purchase plan” that are set forth under Section 423 of the Code.</w:t>
      </w:r>
    </w:p>
    <w:p>
      <w:pPr>
        <w:spacing w:after="0" w:line="203" w:lineRule="exact"/>
        <w:rPr>
          <w:sz w:val="20"/>
          <w:szCs w:val="20"/>
          <w:color w:val="auto"/>
        </w:rPr>
      </w:pPr>
    </w:p>
    <w:p>
      <w:pPr>
        <w:ind w:left="480" w:right="40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2.15</w:t>
        <w:tab/>
        <w:t>“Participant” means an Eligible Employee who (a) has become a Participant in the Plan pursuant to Section 4.1 and (b) has not ceased to be a Participant pursuant to Section 8 or Section 9.</w:t>
      </w:r>
    </w:p>
    <w:p>
      <w:pPr>
        <w:spacing w:after="0" w:line="189" w:lineRule="exact"/>
        <w:rPr>
          <w:sz w:val="20"/>
          <w:szCs w:val="20"/>
          <w:color w:val="auto"/>
        </w:rPr>
      </w:pPr>
    </w:p>
    <w:p>
      <w:pPr>
        <w:ind w:left="480" w:right="10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2.16</w:t>
        <w:tab/>
        <w:t>“Plan” means the PDF Solutions, Inc. Third Amended and Restated 2021 Employee Stock Purchase Plan, as set forth in this document and including both the Section 423 Component and Non-Section 423 Component and any other sub-plans or appendices hereto, as hereafter amended from time to time.</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500" w:top="580" w:right="359" w:bottom="1440" w:gutter="0" w:footer="0" w:header="0"/>
        </w:sectPr>
      </w:pPr>
    </w:p>
    <w:bookmarkStart w:id="22" w:name="page23"/>
    <w:bookmarkEnd w:id="22"/>
    <w:p>
      <w:pPr>
        <w:ind w:left="660" w:right="120" w:hanging="485"/>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2.17</w:t>
        <w:tab/>
        <w:t>“Purchase Date” means such dates as may be determined by the Committee (in its discretion and on a uniform and nondiscriminatory basis) from time to time prior to an Enrollment Date for all options to be granted on such Enrollment Date.</w:t>
      </w:r>
    </w:p>
    <w:p>
      <w:pPr>
        <w:spacing w:after="0" w:line="189"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color w:val="auto"/>
        </w:rPr>
        <w:t>“Section 423 Component” means offerings under the Plan that are intended to meet the requirements of Section 423(b) of the Code.</w:t>
      </w:r>
    </w:p>
    <w:p>
      <w:pPr>
        <w:spacing w:after="0" w:line="279" w:lineRule="exact"/>
        <w:rPr>
          <w:sz w:val="20"/>
          <w:szCs w:val="20"/>
          <w:color w:val="auto"/>
        </w:rPr>
      </w:pPr>
    </w:p>
    <w:p>
      <w:pPr>
        <w:ind w:left="660" w:right="60" w:hanging="485"/>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2.19</w:t>
        <w:tab/>
        <w:t>“Subsidiary” means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17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SHARES SUBJECT TO THE PLAN.</w:t>
      </w:r>
    </w:p>
    <w:p>
      <w:pPr>
        <w:spacing w:after="0" w:line="229"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Number Available. A maximum of 1,600,000 shares of Common Stock shall be available for issuance pursuant to the Plan.</w:t>
      </w:r>
    </w:p>
    <w:p>
      <w:pPr>
        <w:spacing w:after="0" w:line="279" w:lineRule="exact"/>
        <w:rPr>
          <w:sz w:val="20"/>
          <w:szCs w:val="20"/>
          <w:color w:val="auto"/>
        </w:rPr>
      </w:pPr>
    </w:p>
    <w:p>
      <w:pPr>
        <w:ind w:left="660" w:right="80" w:hanging="485"/>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3.2</w:t>
        <w:tab/>
        <w:t>Adjustments. In the event of any reorganization, recapitalization, stock split, subdivision of the outstanding shares, reverse stock split, stock dividend, declaration of a dividend payable in a form other than shares in an amount that will have a material effective on the shares, combination or consolidation of shares, merger, consolidation, offering of rights, spin-off or other similar change in the capital structure of the Company, the Board shall make appropriate adjustments in the number, kind and purchase price of the shares or securities available for purchase under the Plan and in the maximum number of shares or kind of securities subject to and purchase price for any option under the Plan.</w:t>
      </w:r>
    </w:p>
    <w:p>
      <w:pPr>
        <w:spacing w:after="0" w:line="1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ENROLLMENT.</w:t>
      </w:r>
    </w:p>
    <w:p>
      <w:pPr>
        <w:spacing w:after="0" w:line="229" w:lineRule="exact"/>
        <w:rPr>
          <w:sz w:val="20"/>
          <w:szCs w:val="20"/>
          <w:color w:val="auto"/>
        </w:rPr>
      </w:pPr>
    </w:p>
    <w:p>
      <w:pPr>
        <w:ind w:left="660" w:right="80" w:hanging="485"/>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4.1</w:t>
        <w:tab/>
        <w:t>Participation. Each Eligible Employee may elect to become a Participant by enrolling or re-enrolling in the Plan effective as of any Enrollment Date. In order to enroll, an Eligible Employee must complete, sign, and submit to the Company an enrollment form in such form, manner and by such deadline as may be specified by the Committee from time to time (in its discretion and on a nondiscriminatory basis). Any Participant whose option expires and who has not withdrawn from the Plan automatically will be re-enrolled in the Plan on the Enrollment Date immediately following the Purchase Date on which his or her option expires. Any Participant whose option has not expired and who has not withdrawn from the Plan automatically will be deemed to be un-enrolled from the Participant’s current option and be enrolled as of a subsequent Enrollment Date if the price per Share on such subsequent Enrollment Date is lower than the price per Share on the Enrollment Date relating to the Participant’s current option.</w:t>
      </w:r>
    </w:p>
    <w:p>
      <w:pPr>
        <w:spacing w:after="0" w:line="219" w:lineRule="exact"/>
        <w:rPr>
          <w:sz w:val="20"/>
          <w:szCs w:val="20"/>
          <w:color w:val="auto"/>
        </w:rPr>
      </w:pPr>
    </w:p>
    <w:p>
      <w:pPr>
        <w:ind w:left="660" w:hanging="485"/>
        <w:spacing w:after="0" w:line="270"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Payroll Withholding. On his or her enrollment form, each Participant must elect to make Plan contributions via payroll withholding from his or her Compensation. Pursuant to such procedures as the Committee may specify from time to time, a Participant may elect to have withholding equal to a whole percentage from 1% to 10% (or such lesser, or greater, percentage that the Committee may establish from time to time for all options to be granted on any Enrollment Date). All Plan contributions in respect of the Non-Section 423 Component for Eligible Employees shall be made only by after-tax payroll deductions by the Employer. A Participant may elect to increase or decrease his or her rate of payroll withholding by submitting a new enrollment form in accordance with such procedures as may be established by the Committee from time to time. A Participant may stop his or her payroll withholding by submitting a new enrollment form in accordance with such procedures as may be established by the Committee from time to time. In order to be effective as of a specific date, an enrollment form must be received by the Company no later than the deadline specified by the Committee, in its discretion and on a nondiscriminatory basis, from time to time. Any Participant who is automatically re-enrolled in the Plan will be deemed to have elected to continue his or her contributions at the percentage last elected by the Participant.</w:t>
      </w:r>
    </w:p>
    <w:p>
      <w:pPr>
        <w:spacing w:after="0" w:line="17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OPTIONS TO PURCHASE COMMON STOCK.</w:t>
      </w:r>
    </w:p>
    <w:p>
      <w:pPr>
        <w:spacing w:after="0" w:line="229" w:lineRule="exact"/>
        <w:rPr>
          <w:sz w:val="20"/>
          <w:szCs w:val="20"/>
          <w:color w:val="auto"/>
        </w:rPr>
      </w:pPr>
    </w:p>
    <w:p>
      <w:pPr>
        <w:ind w:left="660" w:right="600" w:hanging="485"/>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w:t>
        <w:tab/>
        <w:t>Grant of Option. On each Enrollment Date on which the Participant enrolls or re-enrolls in the Plan, he or she shall be granted an option to purchase shares of Common Stock.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ind w:left="660" w:right="20" w:hanging="485"/>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5.2</w:t>
        <w:tab/>
        <w:t>Duration of Option. Each option granted under the Plan shall expire upon the conclusion of the option’s offering period which will end on the earliest to occur of (a) the completion of the purchase of shares on the last Purchase Date occurring within 27 months of the Grant Date of such option, (b) such shorter option period as may be established by the Committee from time to time prior to an Enrollment Date for all options to be granted on such Enrollment Date, or (c) the date on which the Participant ceases to be such for any reason. Until otherwise determined by the Committee for all options to be granted on an Enrollment Date, the period referred to in clause (b) in the preceding sentence shall mean the period from the applicable Enrollment Date through the last business day prior to the immediately following Enrollment Date.</w:t>
      </w:r>
    </w:p>
    <w:p>
      <w:pPr>
        <w:spacing w:after="0" w:line="214" w:lineRule="exact"/>
        <w:rPr>
          <w:sz w:val="20"/>
          <w:szCs w:val="20"/>
          <w:color w:val="auto"/>
        </w:rPr>
      </w:pPr>
    </w:p>
    <w:p>
      <w:pPr>
        <w:ind w:left="660" w:right="120" w:hanging="485"/>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tab/>
        <w:t>Number of Shares Subject to Option. The number of shares available for purchase by each Participant under the option will be established by the Committee from time to time prior to an Enrollment Date for all options to be granted on such Enrollment Date.</w:t>
      </w:r>
    </w:p>
    <w:p>
      <w:pPr>
        <w:spacing w:after="0" w:line="189" w:lineRule="exact"/>
        <w:rPr>
          <w:sz w:val="20"/>
          <w:szCs w:val="20"/>
          <w:color w:val="auto"/>
        </w:rPr>
      </w:pPr>
    </w:p>
    <w:p>
      <w:pPr>
        <w:ind w:left="180"/>
        <w:spacing w:after="0"/>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Other Terms and Conditions. Each option shall be subject to the following additional terms and conditions:</w:t>
      </w:r>
    </w:p>
    <w:p>
      <w:pPr>
        <w:spacing w:after="0" w:line="252"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shares purchased under the option shall be made only through payroll withholding under Section 4.2;</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shares upon exercise of the option will be accomplished only in accordance with Section 6.1;</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under the option will be determined as provided in Section 6.1; and</w:t>
      </w:r>
    </w:p>
    <w:p>
      <w:pPr>
        <w:spacing w:after="0" w:line="279"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in all respects shall be subject to such other terms and conditions (applied on a uniform and nondiscriminatory basis), as the Committee shall determine from time to time in its discretion.</w:t>
      </w:r>
    </w:p>
    <w:p>
      <w:pPr>
        <w:spacing w:after="0" w:line="15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6.</w:t>
        <w:tab/>
        <w:t>PURCHASE OF SHARES.</w:t>
      </w:r>
    </w:p>
    <w:p>
      <w:pPr>
        <w:spacing w:after="0" w:line="229" w:lineRule="exact"/>
        <w:rPr>
          <w:sz w:val="20"/>
          <w:szCs w:val="20"/>
          <w:color w:val="auto"/>
        </w:rPr>
      </w:pPr>
    </w:p>
    <w:p>
      <w:pPr>
        <w:ind w:left="660" w:right="100" w:hanging="485"/>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6.1</w:t>
        <w:tab/>
        <w:t>Exercise of Option. Subject to Section 6.2, on each Purchase Date, the funds then credited to each Participant’s account shall be used to purchase whole shares of Common Stock. Any cash remaining after whole shares of Common Stock have been purchased shall be carried forward in the Participant’s account for the purchase of shares on the next Purchase Date. The price per Share of the Shares purchased under any option granted under the Plan shall be eighty-five percent (85%) of the lower of:</w:t>
      </w:r>
    </w:p>
    <w:p>
      <w:pPr>
        <w:spacing w:after="0" w:line="180" w:lineRule="exact"/>
        <w:rPr>
          <w:sz w:val="20"/>
          <w:szCs w:val="20"/>
          <w:color w:val="auto"/>
        </w:rPr>
      </w:pPr>
    </w:p>
    <w:p>
      <w:pPr>
        <w:ind w:left="1300" w:right="42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per Share on the Nasdaq National Market System on the Grant Date for such option (or, if the Grant Date is a non-trading day on the Nasdaq National Market, then the closing price on the prior Nasdaq trading day); or</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per Share on the Nasdaq National Market System on the Purchase Date.</w:t>
      </w:r>
    </w:p>
    <w:p>
      <w:pPr>
        <w:spacing w:after="0" w:line="252" w:lineRule="exact"/>
        <w:rPr>
          <w:sz w:val="20"/>
          <w:szCs w:val="20"/>
          <w:color w:val="auto"/>
        </w:rPr>
      </w:pPr>
    </w:p>
    <w:p>
      <w:pPr>
        <w:ind w:left="660" w:hanging="485"/>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6.2</w:t>
        <w:tab/>
        <w:t>Delivery of Shares. As directed by the Committee in its sole discretion, shares purchased on any Purchase Date shall be delivered directly to the Participant or to a custodian or broker (if any) designated by the Committee to hold shares for the benefit of the Participants. As determined by the Committee from time to time, such shares shall be delivered as physical certificates or by means of a book entry system.</w:t>
      </w:r>
    </w:p>
    <w:p>
      <w:pPr>
        <w:spacing w:after="0" w:line="203" w:lineRule="exact"/>
        <w:rPr>
          <w:sz w:val="20"/>
          <w:szCs w:val="20"/>
          <w:color w:val="auto"/>
        </w:rPr>
      </w:pPr>
    </w:p>
    <w:p>
      <w:pPr>
        <w:ind w:left="660" w:right="20" w:hanging="485"/>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6.3</w:t>
        <w:tab/>
        <w:t>Exhaustion of Shares. If at any time the shares available under the Plan are over- enrolled, enrollments shall be reduced proportionately to eliminate the over-enrollment. Such reduction method shall be “bottom up,” with the result that all option exercises for one share shall be satisfied first, followed by all exercises for two shares, and so on, until all available shares have been exhausted. Any funds that, due to over-enrollment, cannot be applied to the purchase of whole shares shall be refunded to the Participants (without interest thereon, except as may be required by local law in a non-U.S. jurisdiction). If the payment of interest on any Participant’s account is so required, such provisions shall apply to all Participants in the relevant offering except to the extent otherwise permitted by Treas. Reg § 1.423-2(f). With respect to any offering under the Non-Section 423 Component, the payment of interest shall apply as determined by the Committee (but absent any such determination, no interest shall apply).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4" w:name="page25"/>
    <w:bookmarkEnd w:id="24"/>
    <w:p>
      <w:pPr>
        <w:ind w:left="180"/>
        <w:spacing w:after="0"/>
        <w:tabs>
          <w:tab w:leader="none" w:pos="640" w:val="left"/>
        </w:tabs>
        <w:rPr>
          <w:sz w:val="20"/>
          <w:szCs w:val="20"/>
          <w:color w:val="auto"/>
        </w:rPr>
      </w:pPr>
      <w:r>
        <w:rPr>
          <w:rFonts w:ascii="Times New Roman" w:cs="Times New Roman" w:eastAsia="Times New Roman" w:hAnsi="Times New Roman"/>
          <w:sz w:val="18"/>
          <w:szCs w:val="18"/>
          <w:color w:val="auto"/>
        </w:rPr>
        <w:t>6.4</w:t>
        <w:tab/>
        <w:t>Limitation on Shares.</w:t>
      </w:r>
    </w:p>
    <w:p>
      <w:pPr>
        <w:spacing w:after="0" w:line="252" w:lineRule="exact"/>
        <w:rPr>
          <w:sz w:val="20"/>
          <w:szCs w:val="20"/>
          <w:color w:val="auto"/>
        </w:rPr>
      </w:pPr>
    </w:p>
    <w:p>
      <w:pPr>
        <w:ind w:left="1300" w:right="2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above, the maximum number of shares a Participant may purchase on any Purchase Date shall be twelve thousand five hundred (12,500) Shares.</w:t>
      </w:r>
    </w:p>
    <w:p>
      <w:pPr>
        <w:spacing w:after="0" w:line="188" w:lineRule="exact"/>
        <w:rPr>
          <w:rFonts w:ascii="Times New Roman" w:cs="Times New Roman" w:eastAsia="Times New Roman" w:hAnsi="Times New Roman"/>
          <w:sz w:val="18"/>
          <w:szCs w:val="18"/>
          <w:color w:val="auto"/>
        </w:rPr>
      </w:pPr>
    </w:p>
    <w:p>
      <w:pPr>
        <w:ind w:left="1300" w:right="20" w:hanging="644"/>
        <w:spacing w:after="0" w:line="258"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Plan to the contrary notwithstanding, no Participant shall be granted rights to purchase shares under the Section 423 Component of this Plan which permits the Participant’s rights to purchase shares under all employee stock purchase plans (described in Section 423 of the Code) of the Company and its Subsidiaries to accrue at a rate which exceeds twenty-five thousand dollars ($25,000) of the fair market value of such shares (determined at the time such rights are granted) for each calendar year in which such rights are outstanding at any time.</w:t>
      </w:r>
    </w:p>
    <w:p>
      <w:pPr>
        <w:spacing w:after="0" w:line="17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color w:val="auto"/>
        </w:rPr>
        <w:t>WITHDRAWAL.</w:t>
      </w:r>
    </w:p>
    <w:p>
      <w:pPr>
        <w:spacing w:after="0" w:line="229" w:lineRule="exact"/>
        <w:rPr>
          <w:sz w:val="20"/>
          <w:szCs w:val="20"/>
          <w:color w:val="auto"/>
        </w:rPr>
      </w:pPr>
    </w:p>
    <w:p>
      <w:pPr>
        <w:ind w:left="660" w:right="480" w:hanging="485"/>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w:t>
        <w:tab/>
        <w:t>Withdrawal. A Participant may withdraw from the Plan by submitting a completed enrollment form to the Company. A withdrawal will be effective only if it is received by the Company by the deadline specified by the Committee (in its discretion and on a uniform and nondiscriminatory basis) from time to time. When a withdrawal becomes effective, the Participant’s payroll contributions shall cease and all amounts then credited to the Participant’s account shall be distributed to him or her (without interest thereon).</w:t>
      </w:r>
    </w:p>
    <w:p>
      <w:pPr>
        <w:spacing w:after="0" w:line="17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CESSATION OF PARTICIPATION.</w:t>
      </w:r>
    </w:p>
    <w:p>
      <w:pPr>
        <w:spacing w:after="0" w:line="229" w:lineRule="exact"/>
        <w:rPr>
          <w:sz w:val="20"/>
          <w:szCs w:val="20"/>
          <w:color w:val="auto"/>
        </w:rPr>
      </w:pPr>
    </w:p>
    <w:p>
      <w:pPr>
        <w:ind w:left="660" w:hanging="485"/>
        <w:spacing w:after="0" w:line="252" w:lineRule="auto"/>
        <w:tabs>
          <w:tab w:leader="none" w:pos="640" w:val="left"/>
        </w:tabs>
        <w:rPr>
          <w:sz w:val="20"/>
          <w:szCs w:val="20"/>
          <w:color w:val="auto"/>
        </w:rPr>
      </w:pPr>
      <w:r>
        <w:rPr>
          <w:rFonts w:ascii="Times New Roman" w:cs="Times New Roman" w:eastAsia="Times New Roman" w:hAnsi="Times New Roman"/>
          <w:sz w:val="18"/>
          <w:szCs w:val="18"/>
          <w:color w:val="auto"/>
        </w:rPr>
        <w:t>8.1</w:t>
        <w:tab/>
        <w:t>Termination of Eligibility. A Participant shall cease to be a Participant immediately upon the cessation of his or her status as an Eligible Employee (for example, because of his or her termination of employment from all Employers for any reason). As soon as practicable after such cessation, the Participant’s payroll contributions shall cease and all amounts then credited to the Participant’s account shall be distributed to him or her (without interest thereon). If a Participant transfers employment from the Company or any Subsidiary participating in the Section 423 Component to any Employer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Employer participating in the Non-Section 423 Component to the Company or any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Committee may establish different rules to govern transfers of employment between companies participating in the Section 423 Component and the Non-Section 423 Component, consistent with the applicable requirements of Section 423 of the Code.</w:t>
      </w:r>
    </w:p>
    <w:p>
      <w:pPr>
        <w:spacing w:after="0" w:line="196" w:lineRule="exact"/>
        <w:rPr>
          <w:sz w:val="20"/>
          <w:szCs w:val="20"/>
          <w:color w:val="auto"/>
        </w:rPr>
      </w:pPr>
    </w:p>
    <w:p>
      <w:pPr>
        <w:jc w:val="both"/>
        <w:ind w:left="660" w:right="40" w:hanging="485"/>
        <w:spacing w:after="0" w:line="27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Leave of Absence or Temporarily Out of Continuous Employment. Any Participant who is (y) on a leave of absence approved by the Participant’s employer, or (z) otherwise temporarily not an Eligible Employee even though the Participant is still an employee of the Company or a Subsidiary (the first date of either such event is referred to herein as the “Transition Date”), shall continue to be a Participant for a period the longer of three</w:t>
      </w:r>
    </w:p>
    <w:p>
      <w:pPr>
        <w:spacing w:after="0" w:line="2" w:lineRule="exact"/>
        <w:rPr>
          <w:sz w:val="20"/>
          <w:szCs w:val="20"/>
          <w:color w:val="auto"/>
        </w:rPr>
      </w:pPr>
    </w:p>
    <w:p>
      <w:pPr>
        <w:ind w:left="660" w:right="20" w:hanging="4"/>
        <w:spacing w:after="0" w:line="251" w:lineRule="auto"/>
        <w:tabs>
          <w:tab w:leader="none" w:pos="9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such Transition Date or so long as the Participant’s right to reemployment with his or her employer is guaranteed either by Employer’s written, legally enforceable agreement with the Participant, or by statute or applicable laws. If the Participant does not return from his or her leave of absence or otherwise become an Eligible Employee again by the date that is three (3) months from the Transition Date, his or her employment relationship will be deemed to have terminated, and his or her election to participate in the Plan shall be deemed to have been cancelled on the first (1st) day following such three (3) month period after the Transition Date, unless the Participant’s right to reemployment with his or her employer is guaranteed either by statute or applicable laws, in which case his or her election to participate in the Plan shall be deemed to have been cancelled on the first (1st) day after the date that the Participant’s right to reemployment with his or her employer is no longer guaranteed either by statute or applicable laws.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color w:val="auto"/>
        </w:rPr>
        <w:t>DESIGNATION OF BENEFICIARY.</w:t>
      </w:r>
    </w:p>
    <w:p>
      <w:pPr>
        <w:spacing w:after="0" w:line="229" w:lineRule="exact"/>
        <w:rPr>
          <w:sz w:val="20"/>
          <w:szCs w:val="20"/>
          <w:color w:val="auto"/>
        </w:rPr>
      </w:pPr>
    </w:p>
    <w:p>
      <w:pPr>
        <w:ind w:left="660" w:hanging="485"/>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9.1</w:t>
        <w:tab/>
        <w:t>Designation. Each Participant may, pursuant to such uniform and nondiscriminatory procedures as the Committee may specify from time to time (which may be applicable solely in respect of the Section 423 Component), designate one or more Beneficiaries to receive any amounts credited to the Participant’s account at the time of his or her death. Notwithstanding any contrary provision of this Section 9, Sections 9.1 and 9.2 shall be operative only after (and for so long as) the Committee determines (on a uniform and nondiscriminatory basis) to permit the designation of Beneficiaries.</w:t>
      </w:r>
    </w:p>
    <w:p>
      <w:pPr>
        <w:spacing w:after="0" w:line="210" w:lineRule="exact"/>
        <w:rPr>
          <w:sz w:val="20"/>
          <w:szCs w:val="20"/>
          <w:color w:val="auto"/>
        </w:rPr>
      </w:pPr>
    </w:p>
    <w:p>
      <w:pPr>
        <w:ind w:left="660" w:right="240" w:hanging="485"/>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9.2</w:t>
        <w:tab/>
        <w:t>Changes. A Participant may designate different Beneficiaries (or may revoke a prior Beneficiary designation) at any time by delivering a new designation (or revocation of a prior designation) in like manner. Any designation or revocation shall be effective only if it is received by the Committee. However, when so received, the designation or revocation shall be effective as of the date the designation or revocation is executed (whether or not the Participant still is living), but without prejudice to the Committee on account of any payment made before the change is recorded. The last effective designation received by the Committee shall supersede all prior designations.</w:t>
      </w:r>
    </w:p>
    <w:p>
      <w:pPr>
        <w:spacing w:after="0" w:line="210" w:lineRule="exact"/>
        <w:rPr>
          <w:sz w:val="20"/>
          <w:szCs w:val="20"/>
          <w:color w:val="auto"/>
        </w:rPr>
      </w:pPr>
    </w:p>
    <w:p>
      <w:pPr>
        <w:ind w:left="660" w:right="340" w:hanging="485"/>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9.3</w:t>
        <w:tab/>
        <w:t>Failed Designations. If a Participant dies without having effectively designated a Beneficiary, or if no Beneficiary survives the Participant, the Participant’s Account shall be payable to his or her estate.</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7"/>
          <w:szCs w:val="17"/>
          <w:b w:val="1"/>
          <w:bCs w:val="1"/>
          <w:color w:val="auto"/>
        </w:rPr>
        <w:t>CHANGE IN CONTROL.</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event of a Change in Control, all outstanding purchase rights under the Plan shall automatically be exercised immediately prior to the consummation of such Change in Control (such date shall be considered herein a “Purchase Date”) by causing all amounts credited to each Participant’s account to be applied to purchase as many shares pursuant to the Participant’s purchase rights, subject to the limitations of the Plan. The Company shall use its best efforts to provide at least ten (10) days’ prior written notice of the occurrence of a Change in Control and Participants shall, following the receipt of such notice, have the right to terminate their outstanding purchase rights prior to the effective date of such Change in Control.</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29" w:lineRule="exact"/>
        <w:rPr>
          <w:sz w:val="20"/>
          <w:szCs w:val="20"/>
          <w:color w:val="auto"/>
        </w:rPr>
      </w:pPr>
    </w:p>
    <w:p>
      <w:pPr>
        <w:ind w:left="660" w:right="700" w:hanging="485"/>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tab/>
        <w:t>Plan Administrator. The Plan shall be administered by the Committee. The Committee shall have the authority to control and manage the operation and administration of the Plan.</w:t>
      </w:r>
    </w:p>
    <w:p>
      <w:pPr>
        <w:spacing w:after="0" w:line="189" w:lineRule="exact"/>
        <w:rPr>
          <w:sz w:val="20"/>
          <w:szCs w:val="20"/>
          <w:color w:val="auto"/>
        </w:rPr>
      </w:pPr>
    </w:p>
    <w:p>
      <w:pPr>
        <w:jc w:val="both"/>
        <w:ind w:left="660" w:right="20" w:hanging="485"/>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11.2</w:t>
        <w:tab/>
        <w:t>Actions by Committee. Each decision of a majority of the members of the Committee then in office shall constitute the final and binding act of the Committee. The Committee may act with or without a meeting being called or held and shall keep minutes of all meetings held and a record of all actions taken by written consent.</w:t>
      </w:r>
    </w:p>
    <w:p>
      <w:pPr>
        <w:spacing w:after="0" w:line="203" w:lineRule="exact"/>
        <w:rPr>
          <w:sz w:val="20"/>
          <w:szCs w:val="20"/>
          <w:color w:val="auto"/>
        </w:rPr>
      </w:pPr>
    </w:p>
    <w:p>
      <w:pPr>
        <w:ind w:left="660" w:right="280" w:hanging="485"/>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11.3</w:t>
        <w:tab/>
        <w:t>Powers of Committee. The Committee shall have all powers and discretion necessary or appropriate to supervise the administration of the Plan and to control its operation in accordance with its terms, including, but not by way of limitation, the following discretionary powers:</w:t>
      </w:r>
    </w:p>
    <w:p>
      <w:pPr>
        <w:spacing w:after="0" w:line="162" w:lineRule="exact"/>
        <w:rPr>
          <w:sz w:val="20"/>
          <w:szCs w:val="20"/>
          <w:color w:val="auto"/>
        </w:rPr>
      </w:pPr>
    </w:p>
    <w:p>
      <w:pPr>
        <w:ind w:left="1300" w:right="20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determine the meaning and validity of the provisions of the Plan and the options and to determine any question arising under, or in connection with, the administration, operation or validity of the Plan or the options;</w:t>
      </w:r>
    </w:p>
    <w:p>
      <w:pPr>
        <w:spacing w:after="0" w:line="18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any and all considerations affecting the eligibility of any employee to become a Participant or to remain a Participant in the Plan;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an account or accounts to be maintained for each Participant;</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when, and the number of shares for which, options shall be granted;</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and revise an accounting method or formula for the Plan;</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6" w:name="page27"/>
    <w:bookmarkEnd w:id="26"/>
    <w:p>
      <w:pPr>
        <w:ind w:left="1300" w:right="12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 custodian or broker to receive shares purchased under the Plan and to determine the manner and form in which shares are to be delivered to the designated custodian or broker;</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status and rights of Participants and their Beneficiaries or estates;</w:t>
      </w:r>
    </w:p>
    <w:p>
      <w:pPr>
        <w:spacing w:after="0" w:line="279" w:lineRule="exact"/>
        <w:rPr>
          <w:rFonts w:ascii="Times New Roman" w:cs="Times New Roman" w:eastAsia="Times New Roman" w:hAnsi="Times New Roman"/>
          <w:sz w:val="18"/>
          <w:szCs w:val="18"/>
          <w:color w:val="auto"/>
        </w:rPr>
      </w:pPr>
    </w:p>
    <w:p>
      <w:pPr>
        <w:ind w:left="1300" w:right="58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employ such brokers, counsel, agents and advisers, and to obtain such broker, legal, clerical and other services, as it may deem necessary or appropriate in carrying out the provisions of the Plan;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from time to time, rules for the performance of its powers and duties and for the administration of the Plan;</w:t>
      </w:r>
    </w:p>
    <w:p>
      <w:pPr>
        <w:spacing w:after="0" w:line="279"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or engaged outside of the United States;</w:t>
      </w:r>
    </w:p>
    <w:p>
      <w:pPr>
        <w:spacing w:after="0" w:line="188"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to any one or more of its members or to any other person, severally or jointly, the authority to perform for and on behalf of the Committee one or more of the functions of the Committee under the Plan.</w:t>
      </w:r>
    </w:p>
    <w:p>
      <w:pPr>
        <w:spacing w:after="0" w:line="162" w:lineRule="exact"/>
        <w:rPr>
          <w:sz w:val="20"/>
          <w:szCs w:val="20"/>
          <w:color w:val="auto"/>
        </w:rPr>
      </w:pPr>
    </w:p>
    <w:p>
      <w:pPr>
        <w:ind w:left="660" w:right="160" w:hanging="485"/>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11.4</w:t>
        <w:tab/>
        <w:t>Decisions of Committee. All actions, interpretations, and decisions of the Committee shall be conclusive and binding on all persons, and shall be given the maximum possible deference allowed by law.</w:t>
      </w:r>
    </w:p>
    <w:p>
      <w:pPr>
        <w:spacing w:after="0" w:line="189" w:lineRule="exact"/>
        <w:rPr>
          <w:sz w:val="20"/>
          <w:szCs w:val="20"/>
          <w:color w:val="auto"/>
        </w:rPr>
      </w:pPr>
    </w:p>
    <w:p>
      <w:pPr>
        <w:ind w:left="660" w:right="60" w:hanging="485"/>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11.5</w:t>
        <w:tab/>
        <w:t>Administrative Expenses. All expenses incurred in the administration of the Plan by the Committee, or otherwise, including legal fees and expenses, shall be paid and borne by the Employers, except any stamp duties or transfer taxes applicable to the purchase of shares may be charged to the account of each Participant. Any brokerage fees for the purchase of shares by a Participant shall be paid by the Company, but fees and taxes (including brokerage fees) for the transfer, sale, or resale of shares by a Participant, or the issuance of physical share certificates, shall be borne solely by the Participant.</w:t>
      </w:r>
    </w:p>
    <w:p>
      <w:pPr>
        <w:spacing w:after="0" w:line="210" w:lineRule="exact"/>
        <w:rPr>
          <w:sz w:val="20"/>
          <w:szCs w:val="20"/>
          <w:color w:val="auto"/>
        </w:rPr>
      </w:pPr>
    </w:p>
    <w:p>
      <w:pPr>
        <w:ind w:left="660" w:right="20" w:hanging="485"/>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11.6</w:t>
        <w:tab/>
        <w:t>Eligibility to Participate. No member of the Committee who is also an employee of an Employer shall be excluded from participating in the Plan if otherwise eligible, but he or she shall not be entitled, as a member of the Committee, to act or pass upon any matters pertaining specifically to his or her own account under the Plan.</w:t>
      </w:r>
    </w:p>
    <w:p>
      <w:pPr>
        <w:spacing w:after="0" w:line="203" w:lineRule="exact"/>
        <w:rPr>
          <w:sz w:val="20"/>
          <w:szCs w:val="20"/>
          <w:color w:val="auto"/>
        </w:rPr>
      </w:pPr>
    </w:p>
    <w:p>
      <w:pPr>
        <w:ind w:left="660" w:right="180" w:hanging="485"/>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11.7</w:t>
        <w:tab/>
        <w:t>Indemnification. To the extent permitted by applicable law, each of the Employers shall, and hereby does, indemnify and hold harmless the members of the Committee and the Board, from and against any and all losses, claims, damages or liabilities (including attorneys’ fees and amounts paid, with the approval of the Board, in settlement of any claim) arising out of or resulting from the implementation of a duty, act or decision with respect to the Plan, so long as such duty, act or decision does not involve gross negligence or willful misconduct on the part of any such individual.</w:t>
      </w:r>
    </w:p>
    <w:p>
      <w:pPr>
        <w:spacing w:after="0" w:line="17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AMENDMENT, TERMINATION, AND DURATION.</w:t>
      </w:r>
    </w:p>
    <w:p>
      <w:pPr>
        <w:spacing w:after="0" w:line="229" w:lineRule="exact"/>
        <w:rPr>
          <w:sz w:val="20"/>
          <w:szCs w:val="20"/>
          <w:color w:val="auto"/>
        </w:rPr>
      </w:pPr>
    </w:p>
    <w:p>
      <w:pPr>
        <w:ind w:left="660" w:hanging="485"/>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12.1</w:t>
        <w:tab/>
        <w:t>Amendment or Termination. The Board, in its sole discretion, may amend or terminate the Plan, or any part thereof, at any time and for any reason.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manner and to such a degree as required by Section 423 of the Code or such other law, regulation or rule. If the Plan is terminated, the Board, in its discretion, may elect to terminate all outstanding options either immediately or upon completion of the purchase of shares on the next Purchase Date, or may elect to permit options to expire in accordance with their terms (and participation to continue through such expiration dates). If the options are terminated prior to expiration, all amounts then credited to Participants’ accounts which have not been used to purchase shares shall be returned to the Participants (without interest thereon) as soon as administratively practicable.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b w:val="1"/>
          <w:bCs w:val="1"/>
          <w:color w:val="auto"/>
        </w:rPr>
        <w:t>GENERAL PROVISIONS.</w:t>
      </w:r>
    </w:p>
    <w:p>
      <w:pPr>
        <w:spacing w:after="0" w:line="229" w:lineRule="exact"/>
        <w:rPr>
          <w:sz w:val="20"/>
          <w:szCs w:val="20"/>
          <w:color w:val="auto"/>
        </w:rPr>
      </w:pPr>
    </w:p>
    <w:p>
      <w:pPr>
        <w:ind w:left="660" w:right="140" w:hanging="485"/>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13.1</w:t>
        <w:tab/>
        <w:t>Participation by Subsidiaries. In the event one or more Subsidiaries of the Company are approved/designated to participate in the Plan by the Board, each such Subsidiary shall be deemed to agree to all of the terms of the Plan, including (but not limited to) the provisions granting exclusive authority (a) to the Board to amend the Plan, and (b) to the Committee to administer and interpret the Plan. The Board may determine whether a Subsidiary shall participate in the Section 423 Component or Non-Section 423 Component and may terminate participation of a Subsidiary in the Plan at any time. The liabilities incurred under the Plan to the Participants employed by each Employer shall be solely the liabilities of that Employer, and no other Employer shall be liable for benefits accrued by a Participant during any period when he or she was not employed by such Employer.</w:t>
      </w:r>
    </w:p>
    <w:p>
      <w:pPr>
        <w:spacing w:after="0" w:line="216" w:lineRule="exact"/>
        <w:rPr>
          <w:sz w:val="20"/>
          <w:szCs w:val="20"/>
          <w:color w:val="auto"/>
        </w:rPr>
      </w:pPr>
    </w:p>
    <w:p>
      <w:pPr>
        <w:ind w:left="660" w:right="20" w:hanging="485"/>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tab/>
        <w:t>Inalienability. In no event may either a Participant, a former Participant or his or her Beneficiary, spouse or estate sell, transfer, anticipate, assign, hypothecate, or otherwise dispose of any right or interest under the Plan; and such rights and interests shall not at any time be subject to the claims of creditors nor be liable to attachment, execution or other legal process. Accordingly, for example, a Participant’s interest in the Plan is not transferable pursuant to a domestic relations order.</w:t>
      </w:r>
    </w:p>
    <w:p>
      <w:pPr>
        <w:spacing w:after="0" w:line="207" w:lineRule="exact"/>
        <w:rPr>
          <w:sz w:val="20"/>
          <w:szCs w:val="20"/>
          <w:color w:val="auto"/>
        </w:rPr>
      </w:pPr>
    </w:p>
    <w:p>
      <w:pPr>
        <w:ind w:left="660" w:right="360" w:hanging="485"/>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tab/>
        <w:t>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89" w:lineRule="exact"/>
        <w:rPr>
          <w:sz w:val="20"/>
          <w:szCs w:val="20"/>
          <w:color w:val="auto"/>
        </w:rPr>
      </w:pPr>
    </w:p>
    <w:p>
      <w:pPr>
        <w:ind w:left="660" w:right="60" w:hanging="485"/>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13.4</w:t>
        <w:tab/>
        <w:t>Requirements of Law. The granting of options and the issuance of shares shall be subject to all applicable laws, rules, and regulations, and to such approvals by any governmental agencies or securities exchanges as the Committee may determine are necessary or appropriate. Notwithstanding anything herein to the contrary, the terms and conditions of the Plan with respect to Participants who are tax residents of a particular non-U.S. country or who are foreign nationals or employed in non-U.S. jurisdictions may be subject to an addendum to the Plan in the form of an appendix or sub-plan (which appendix or sub-plan may be designed to govern Offerings under the Section 423 Component or the Non-Section 423 Component, as determined by the Committee).</w:t>
      </w:r>
    </w:p>
    <w:p>
      <w:pPr>
        <w:spacing w:after="0" w:line="214" w:lineRule="exact"/>
        <w:rPr>
          <w:sz w:val="20"/>
          <w:szCs w:val="20"/>
          <w:color w:val="auto"/>
        </w:rPr>
      </w:pPr>
    </w:p>
    <w:p>
      <w:pPr>
        <w:ind w:left="660" w:right="20"/>
        <w:spacing w:after="0" w:line="255" w:lineRule="auto"/>
        <w:rPr>
          <w:sz w:val="20"/>
          <w:szCs w:val="20"/>
          <w:color w:val="auto"/>
        </w:rPr>
      </w:pPr>
      <w:r>
        <w:rPr>
          <w:rFonts w:ascii="Times New Roman" w:cs="Times New Roman" w:eastAsia="Times New Roman" w:hAnsi="Times New Roman"/>
          <w:sz w:val="18"/>
          <w:szCs w:val="18"/>
          <w:color w:val="auto"/>
        </w:rPr>
        <w:t>To the extent any sub-plan or appendix or other changes approved by the Committee are inconsistent with the requirements of Section 423 of the Code or would jeopardize the tax-qualified status of the Section 423 Component, the change shall cause the Employers affected thereby to be considered Employers in a separate offering under the Non-Section 423 Component instead of the Section 423 Component. To the extent any Employee in the Section 423 Component is a citizen or resident of a foreign jurisdiction (without regard to whether they are also a U.S. citizen or a resident alien (within the meaning of Section 7701(b)(1)(A) of the Code)) and compliance with the laws of the foreign jurisdiction would cause the Section 423 Component, any offering, or the option to violate the requirements of Section 423 of the Code, such Employee shall be considered a Participant in a separate offering under the Non-Section 423 Component.</w:t>
      </w:r>
    </w:p>
    <w:p>
      <w:pPr>
        <w:spacing w:after="0" w:line="175" w:lineRule="exact"/>
        <w:rPr>
          <w:sz w:val="20"/>
          <w:szCs w:val="20"/>
          <w:color w:val="auto"/>
        </w:rPr>
      </w:pPr>
    </w:p>
    <w:p>
      <w:pPr>
        <w:ind w:left="660" w:right="40" w:hanging="485"/>
        <w:spacing w:after="0" w:line="233" w:lineRule="exact"/>
        <w:tabs>
          <w:tab w:leader="none" w:pos="640" w:val="left"/>
        </w:tabs>
        <w:rPr>
          <w:sz w:val="20"/>
          <w:szCs w:val="20"/>
          <w:color w:val="auto"/>
        </w:rPr>
      </w:pPr>
      <w:r>
        <w:rPr>
          <w:rFonts w:ascii="Times New Roman" w:cs="Times New Roman" w:eastAsia="Times New Roman" w:hAnsi="Times New Roman"/>
          <w:sz w:val="18"/>
          <w:szCs w:val="18"/>
          <w:color w:val="auto"/>
        </w:rPr>
        <w:t>13.5</w:t>
        <w:tab/>
        <w:t>Compliance with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Any transactions under this Plan with respect to officers (as defined in Rule 16a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promulgated under the 1934 Act) are intended to comply with all applicable conditions of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To the extent any provision of the Plan or action by the Committee fails to so comply, it shall be deemed null and void, to the extent permitted by law and deemed advisable by the Committee. Notwithstanding any contrary provision of the Plan, if the Committee specifically determines that compliance with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no longer is required, all references in the Plan to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shall be null and void.</w:t>
      </w:r>
    </w:p>
    <w:p>
      <w:pPr>
        <w:spacing w:after="0" w:line="199" w:lineRule="exact"/>
        <w:rPr>
          <w:sz w:val="20"/>
          <w:szCs w:val="20"/>
          <w:color w:val="auto"/>
        </w:rPr>
      </w:pPr>
    </w:p>
    <w:p>
      <w:pPr>
        <w:ind w:left="660" w:hanging="485"/>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13.6</w:t>
        <w:tab/>
        <w:t>No Enlargement of Employment Rights. Neither the establishment or maintenance of the Plan, the granting of options, the purchase of shares, nor any action of any Employer or the Committee, shall be held or construed to confer upon any individual any right to continue as an employee of the Employer nor, upon dismissal, any right or interest in any specific assets of the Employers other than as provided in the Plan. Each Employer expressly reserves the right to discharge any employee at any time, with or without cause.</w:t>
      </w:r>
    </w:p>
    <w:p>
      <w:pPr>
        <w:spacing w:after="0" w:line="207" w:lineRule="exact"/>
        <w:rPr>
          <w:sz w:val="20"/>
          <w:szCs w:val="20"/>
          <w:color w:val="auto"/>
        </w:rPr>
      </w:pPr>
    </w:p>
    <w:p>
      <w:pPr>
        <w:ind w:left="660" w:right="140" w:hanging="485"/>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13.7</w:t>
        <w:tab/>
        <w:t>Apportionment of Costs and Duties. All acts required of the Employers under the Plan may be performed by the Company for itself and its Subsidiaries, and the costs of the Plan may be equitably apportioned by the Committee among the Company and the other Employers. Whenever an Employer is permitted or required under the terms of the Plan to do or perform any act, matter or thing, it shall be done and performed by any officer or employee of the Employers who is thereunto duly authorized by the Employers.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ind w:left="480" w:hanging="485"/>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auto"/>
        </w:rPr>
        <w:t>13.8</w:t>
        <w:tab/>
        <w:t>Construction and Applicable Law. The provisions of the Plan shall be construed, administered, and enforced in accordance with Section 423(b) solely as to the Section 423 Component and with the laws of the State of California (excluding California’s conflict of laws provisions). Solely as to the Section 423 Component, any provision of the Plan which is inconsistent with Section 423(b) of the Code shall, without further act or amendment by the Company or the Committee, be reformed to comply with the requirements of Section 423(b).</w:t>
      </w:r>
    </w:p>
    <w:p>
      <w:pPr>
        <w:spacing w:after="0" w:line="207" w:lineRule="exact"/>
        <w:rPr>
          <w:sz w:val="20"/>
          <w:szCs w:val="20"/>
          <w:color w:val="auto"/>
        </w:rPr>
      </w:pPr>
    </w:p>
    <w:p>
      <w:pPr>
        <w:ind w:left="480" w:right="2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13.9</w:t>
        <w:tab/>
        <w:t>Captions. The captions contained in and the table of contents prefixed to, the Plan are inserted only as a matter of convenience, and in no way define, limit, enlarge or describe the scope or intent of the Plan nor in any way shall affect the construction of any provision of the Plan.</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Page 9 of 9</w:t>
      </w:r>
    </w:p>
    <w:sectPr>
      <w:pgSz w:w="11900" w:h="16838" w:orient="portrait"/>
      <w:cols w:equalWidth="0" w:num="1">
        <w:col w:w="10960"/>
      </w:cols>
      <w:pgMar w:left="500"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2"/>
      <w:numFmt w:val="decimal"/>
      <w:start w:val="104"/>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4"/>
    </w:lvl>
    <w:lvl w:ilvl="1">
      <w:lvlJc w:val="left"/>
      <w:lvlText w:val="(%2)"/>
      <w:numFmt w:val="lowerRoman"/>
      <w:start w:val="4"/>
    </w:lvl>
  </w:abstractNum>
  <w:abstractNum w:abstractNumId="4">
    <w:nsid w:val="2443A858"/>
    <w:multiLevelType w:val="hybridMultilevel"/>
    <w:lvl w:ilvl="0">
      <w:lvlJc w:val="left"/>
      <w:lvlText w:val="%1"/>
      <w:numFmt w:val="lowerLetter"/>
      <w:start w:val="1"/>
    </w:lvl>
    <w:lvl w:ilvl="1">
      <w:lvlJc w:val="left"/>
      <w:lvlText w:val="(%2)"/>
      <w:numFmt w:val="lowerRoman"/>
      <w:start w:val="1"/>
    </w:lvl>
  </w:abstractNum>
  <w:abstractNum w:abstractNumId="5">
    <w:nsid w:val="2D1D5AE9"/>
    <w:multiLevelType w:val="hybridMultilevel"/>
    <w:lvl w:ilvl="0">
      <w:lvlJc w:val="left"/>
      <w:lvlText w:val="(%1)"/>
      <w:numFmt w:val="lowerLetter"/>
      <w:start w:val="8"/>
    </w:lvl>
    <w:lvl w:ilvl="1">
      <w:lvlJc w:val="left"/>
      <w:lvlText w:val="(%2)"/>
      <w:numFmt w:val="lowerRoman"/>
      <w:start w:val="1"/>
    </w:lvl>
  </w:abstractNum>
  <w:abstractNum w:abstractNumId="6">
    <w:nsid w:val="6763845E"/>
    <w:multiLevelType w:val="hybridMultilevel"/>
    <w:lvl w:ilvl="0">
      <w:lvlJc w:val="left"/>
      <w:lvlText w:val="(%1)"/>
      <w:numFmt w:val="lowerLetter"/>
      <w:start w:val="19"/>
    </w:lvl>
  </w:abstractNum>
  <w:abstractNum w:abstractNumId="7">
    <w:nsid w:val="75A2A8D4"/>
    <w:multiLevelType w:val="hybridMultilevel"/>
    <w:lvl w:ilvl="0">
      <w:lvlJc w:val="left"/>
      <w:lvlText w:val="(%1)"/>
      <w:numFmt w:val="lowerLetter"/>
      <w:start w:val="21"/>
    </w:lvl>
  </w:abstractNum>
  <w:abstractNum w:abstractNumId="8">
    <w:nsid w:val="8EDBDAB"/>
    <w:multiLevelType w:val="hybridMultilevel"/>
    <w:lvl w:ilvl="0">
      <w:lvlJc w:val="left"/>
      <w:lvlText w:val="(%1)"/>
      <w:numFmt w:val="lowerLetter"/>
      <w:start w:val="27"/>
    </w:lvl>
  </w:abstractNum>
  <w:abstractNum w:abstractNumId="9">
    <w:nsid w:val="79838CB2"/>
    <w:multiLevelType w:val="hybridMultilevel"/>
    <w:lvl w:ilvl="0">
      <w:lvlJc w:val="left"/>
      <w:lvlText w:val="(%1)"/>
      <w:numFmt w:val="lowerLetter"/>
      <w:start w:val="37"/>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2"/>
    </w:lvl>
    <w:lvl w:ilvl="1">
      <w:lvlJc w:val="left"/>
      <w:lvlText w:val="(%2)"/>
      <w:numFmt w:val="lowerRoman"/>
      <w:start w:val="1"/>
    </w:lvl>
  </w:abstractNum>
  <w:abstractNum w:abstractNumId="12">
    <w:nsid w:val="189A769B"/>
    <w:multiLevelType w:val="hybridMultilevel"/>
    <w:lvl w:ilvl="0">
      <w:lvlJc w:val="left"/>
      <w:lvlText w:val="(%1)"/>
      <w:numFmt w:val="lowerLetter"/>
      <w:start w:val="3"/>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3"/>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3"/>
    </w:lvl>
    <w:lvl w:ilvl="1">
      <w:lvlJc w:val="left"/>
      <w:lvlText w:val="(%2)"/>
      <w:numFmt w:val="lowerRoman"/>
      <w:start w:val="1"/>
    </w:lvl>
  </w:abstractNum>
  <w:abstractNum w:abstractNumId="17">
    <w:nsid w:val="2901D82"/>
    <w:multiLevelType w:val="hybridMultilevel"/>
    <w:lvl w:ilvl="0">
      <w:lvlJc w:val="left"/>
      <w:lvlText w:val="(%1)"/>
      <w:numFmt w:val="lowerLetter"/>
      <w:start w:val="1"/>
    </w:lvl>
  </w:abstractNum>
  <w:abstractNum w:abstractNumId="18">
    <w:nsid w:val="3A95F874"/>
    <w:multiLevelType w:val="hybridMultilevel"/>
    <w:lvl w:ilvl="0">
      <w:lvlJc w:val="left"/>
      <w:lvlText w:val="(%1)"/>
      <w:numFmt w:val="lowerLetter"/>
      <w:start w:val="5"/>
    </w:lvl>
    <w:lvl w:ilvl="1">
      <w:lvlJc w:val="left"/>
      <w:lvlText w:val="(%2)"/>
      <w:numFmt w:val="lowerRoman"/>
      <w:start w:val="1"/>
    </w:lvl>
  </w:abstractNum>
  <w:abstractNum w:abstractNumId="19">
    <w:nsid w:val="8138641"/>
    <w:multiLevelType w:val="hybridMultilevel"/>
    <w:lvl w:ilvl="0">
      <w:lvlJc w:val="left"/>
      <w:lvlText w:val="(%1)"/>
      <w:numFmt w:val="lowerLetter"/>
      <w:start w:val="6"/>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3"/>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3"/>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5"/>
    </w:lvl>
  </w:abstractNum>
  <w:abstractNum w:abstractNumId="26">
    <w:nsid w:val="3006C83E"/>
    <w:multiLevelType w:val="hybridMultilevel"/>
    <w:lvl w:ilvl="0">
      <w:lvlJc w:val="left"/>
      <w:lvlText w:val="(%1)"/>
      <w:numFmt w:val="lowerLetter"/>
      <w:start w:val="1"/>
    </w:lvl>
    <w:lvl w:ilvl="1">
      <w:lvlJc w:val="left"/>
      <w:lvlText w:val="(%2)"/>
      <w:numFmt w:val="lowerRoman"/>
      <w:start w:val="1"/>
    </w:lvl>
  </w:abstractNum>
  <w:abstractNum w:abstractNumId="27">
    <w:nsid w:val="614FD4A1"/>
    <w:multiLevelType w:val="hybridMultilevel"/>
    <w:lvl w:ilvl="0">
      <w:lvlJc w:val="left"/>
      <w:lvlText w:val="(%1)"/>
      <w:numFmt w:val="lowerLetter"/>
      <w:start w:val="3"/>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3"/>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4"/>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3"/>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2026-06-18T15:20:28Z</dcterms:created>
  <dcterms:modified xsi:type="dcterms:W3CDTF">2026-06-18T15:20:28Z</dcterms:modified>
</cp:coreProperties>
</file>