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bookmarkStart w:id="0" w:name="pdfs20260930_10q.htm"/>
      <w:bookmarkStart w:id="1" w:name="kspdfs20260930_10q"/>
      <w:bookmarkEnd w:id="0"/>
      <w:bookmarkEnd w:id="1"/>
      <w:r>
        <w:t xml:space="preserve">  </w:t>
      </w:r>
    </w:p>
    <w:p>
      <w:pPr>
        <w:pStyle w:val="TextBody"/>
        <w:bidi w:val="0"/>
        <w:spacing w:before="0" w:after="0"/>
        <w:ind w:left="0" w:right="0" w:hanging="0"/>
        <w:jc w:val="left"/>
      </w:pPr>
      <w:hyperlink w:anchor="toc">
        <w:r>
          <w:rPr>
            <w:rStyle w:val="InternetLink"/>
            <w:rFonts w:ascii="Times New Roman" w:hAnsi="Times New Roman"/>
            <w:sz w:val="20"/>
          </w:rPr>
          <w:t>Table of Contents</w:t>
        </w:r>
      </w:hyperlink>
    </w:p>
    <w:p>
      <w:pPr>
        <w:pStyle w:val="HorizontalLine"/>
        <w:pBdr>
          <w:bottom w:val="double" w:sz="2" w:space="0" w:color="808080"/>
        </w:pBdr>
        <w:bidi w:val="0"/>
        <w:spacing w:before="0" w:after="283"/>
        <w:jc w:val="left"/>
      </w:pPr>
      <w:r/>
    </w:p>
    <w:p>
      <w:pPr>
        <w:pStyle w:val="HorizontalLine"/>
        <w:pBdr>
          <w:bottom w:val="double" w:sz="2" w:space="0" w:color="808080"/>
        </w:pBdr>
        <w:bidi w:val="0"/>
        <w:spacing w:before="0" w:after="283"/>
        <w:jc w:val="left"/>
      </w:p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 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FORM</w:t>
      </w:r>
      <w:r>
        <w:rPr>
          <w:rFonts w:ascii="Times New Roman" w:hAnsi="Times New Roman"/>
          <w:caps w:val="false"/>
          <w:smallCaps w:val="false"/>
          <w:sz w:val="32"/>
        </w:rPr>
        <w:t> </w:t>
      </w:r>
      <w:r>
        <w:rPr>
          <w:rFonts w:ascii="Times New Roman" w:hAnsi="Times New Roman"/>
          <w:b/>
          <w:caps w:val="false"/>
          <w:smallCaps w:val="false"/>
          <w:sz w:val="32"/>
        </w:rPr>
        <w:t>10-Q</w:t>
      </w:r>
    </w:p>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30"/>
        <w:gridCol w:w="9920"/>
      </w:tblGrid>
      <w:t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QUARTERLY REPORT PURSUANT TO SECTION</w:t>
            </w:r>
            <w:r>
              <w:rPr>
                <w:rFonts w:ascii="Times New Roman" w:hAnsi="Times New Roman"/>
                <w:caps w:val="false"/>
                <w:smallCaps w:val="false"/>
                <w:sz w:val="20"/>
              </w:rPr>
              <w:t> </w:t>
            </w:r>
            <w:r>
              <w:rPr>
                <w:rFonts w:ascii="Times New Roman" w:hAnsi="Times New Roman"/>
                <w:b/>
                <w:caps w:val="false"/>
                <w:smallCaps w:val="false"/>
                <w:sz w:val="20"/>
              </w:rPr>
              <w:t>13 OR 15(d)</w:t>
            </w:r>
            <w:r>
              <w:rPr>
                <w:rFonts w:ascii="Times New Roman" w:hAnsi="Times New Roman"/>
                <w:caps w:val="false"/>
                <w:smallCaps w:val="false"/>
                <w:sz w:val="20"/>
              </w:rPr>
              <w:t> </w:t>
            </w:r>
            <w:r>
              <w:rPr>
                <w:rFonts w:ascii="Times New Roman" w:hAnsi="Times New Roman"/>
                <w:b/>
                <w:caps w:val="false"/>
                <w:smallCaps w:val="false"/>
                <w:sz w:val="20"/>
              </w:rPr>
              <w:t>OF THE SECURITIES EXCHANGE</w:t>
            </w:r>
            <w:r>
              <w:rPr>
                <w:rFonts w:ascii="Times New Roman" w:hAnsi="Times New Roman"/>
                <w:caps w:val="false"/>
                <w:smallCaps w:val="false"/>
                <w:sz w:val="20"/>
              </w:rPr>
              <w:t> </w:t>
            </w:r>
            <w:r>
              <w:rPr>
                <w:rFonts w:ascii="Times New Roman" w:hAnsi="Times New Roman"/>
                <w:b/>
                <w:caps w:val="false"/>
                <w:smallCaps w:val="false"/>
                <w:sz w:val="20"/>
              </w:rPr>
              <w:t>ACT OF 1934</w:t>
            </w:r>
            <w:r>
              <w:rPr>
                <w:rFonts w:ascii="Times New Roman" w:hAnsi="Times New Roman"/>
                <w:caps w:val="false"/>
                <w:smallCaps w:val="false"/>
                <w:sz w:val="20"/>
              </w:rPr>
              <w:t> </w:t>
            </w:r>
          </w:p>
        </w:tc>
      </w:tr>
      <w:tr>
        <w:tc>
          <w:tcPr>
            <w:tcW w:w="230" w:type="dxa"/>
            <w:tcBorders/>
            <w:vAlign w:val="center"/>
          </w:tcPr>
          <w:p>
            <w:pPr>
              <w:pStyle w:val="TableContents"/>
              <w:bidi w:val="0"/>
              <w:spacing w:before="0" w:after="283"/>
              <w:jc w:val="left"/>
            </w:pPr>
            <w:r>
              <w:t> </w:t>
            </w:r>
          </w:p>
        </w:tc>
        <w:tc>
          <w:tcPr>
            <w:tcW w:w="9920" w:type="dxa"/>
            <w:tcBorders/>
            <w:vAlign w:val="center"/>
          </w:tcPr>
          <w:p>
            <w:pPr>
              <w:pStyle w:val="TableContents"/>
              <w:bidi w:val="0"/>
              <w:spacing w:before="0" w:after="283"/>
              <w:jc w:val="left"/>
            </w:pPr>
            <w:r>
              <w:t> </w:t>
            </w:r>
          </w:p>
        </w:tc>
      </w:tr>
      <w:tr>
        <w:tc>
          <w:tcPr>
            <w:tcW w:w="230" w:type="dxa"/>
            <w:tcBorders/>
            <w:vAlign w:val="center"/>
          </w:tcPr>
          <w:p>
            <w:pPr>
              <w:pStyle w:val="TableContents"/>
              <w:bidi w:val="0"/>
              <w:spacing w:before="0" w:after="0"/>
              <w:ind w:left="0" w:right="0" w:hanging="0"/>
              <w:jc w:val="left"/>
            </w:pPr>
            <w:r>
              <w:t> </w:t>
            </w:r>
          </w:p>
        </w:tc>
        <w:tc>
          <w:tcPr>
            <w:tcW w:w="99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 the quarterly period ended September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30"/>
        <w:gridCol w:w="9905"/>
      </w:tblGrid>
      <w:t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TRANSITION REPORT PURSUANT TO SECTION</w:t>
            </w:r>
            <w:r>
              <w:rPr>
                <w:rFonts w:ascii="Times New Roman" w:hAnsi="Times New Roman"/>
                <w:caps w:val="false"/>
                <w:smallCaps w:val="false"/>
                <w:sz w:val="20"/>
              </w:rPr>
              <w:t> </w:t>
            </w:r>
            <w:r>
              <w:rPr>
                <w:rFonts w:ascii="Times New Roman" w:hAnsi="Times New Roman"/>
                <w:b/>
                <w:caps w:val="false"/>
                <w:smallCaps w:val="false"/>
                <w:sz w:val="20"/>
              </w:rPr>
              <w:t>13 OR 15(d)</w:t>
            </w:r>
            <w:r>
              <w:rPr>
                <w:rFonts w:ascii="Times New Roman" w:hAnsi="Times New Roman"/>
                <w:caps w:val="false"/>
                <w:smallCaps w:val="false"/>
                <w:sz w:val="20"/>
              </w:rPr>
              <w:t> </w:t>
            </w:r>
            <w:r>
              <w:rPr>
                <w:rFonts w:ascii="Times New Roman" w:hAnsi="Times New Roman"/>
                <w:b/>
                <w:caps w:val="false"/>
                <w:smallCaps w:val="false"/>
                <w:sz w:val="20"/>
              </w:rPr>
              <w:t>OF THE SECURITIES EXCHANGE</w:t>
            </w:r>
            <w:r>
              <w:rPr>
                <w:rFonts w:ascii="Times New Roman" w:hAnsi="Times New Roman"/>
                <w:caps w:val="false"/>
                <w:smallCaps w:val="false"/>
                <w:sz w:val="20"/>
              </w:rPr>
              <w:t> </w:t>
            </w:r>
            <w:r>
              <w:rPr>
                <w:rFonts w:ascii="Times New Roman" w:hAnsi="Times New Roman"/>
                <w:b/>
                <w:caps w:val="false"/>
                <w:smallCaps w:val="false"/>
                <w:sz w:val="20"/>
              </w:rPr>
              <w:t>ACT OF 1934</w:t>
            </w:r>
            <w:r>
              <w:rPr>
                <w:rFonts w:ascii="Times New Roman" w:hAnsi="Times New Roman"/>
                <w:caps w:val="false"/>
                <w:smallCaps w:val="false"/>
                <w:sz w:val="20"/>
              </w:rPr>
              <w:t> </w:t>
            </w:r>
          </w:p>
        </w:tc>
      </w:tr>
      <w:tr>
        <w:tc>
          <w:tcPr>
            <w:tcW w:w="230" w:type="dxa"/>
            <w:tcBorders/>
            <w:vAlign w:val="center"/>
          </w:tcPr>
          <w:p>
            <w:pPr>
              <w:pStyle w:val="TableContents"/>
              <w:bidi w:val="0"/>
              <w:spacing w:before="0" w:after="283"/>
              <w:jc w:val="left"/>
            </w:pPr>
            <w:r>
              <w:t> </w:t>
            </w:r>
          </w:p>
        </w:tc>
        <w:tc>
          <w:tcPr>
            <w:tcW w:w="9905" w:type="dxa"/>
            <w:tcBorders/>
            <w:vAlign w:val="center"/>
          </w:tcPr>
          <w:p>
            <w:pPr>
              <w:pStyle w:val="TableContents"/>
              <w:bidi w:val="0"/>
              <w:spacing w:before="0" w:after="283"/>
              <w:jc w:val="left"/>
            </w:pPr>
            <w:r>
              <w:t> </w:t>
            </w:r>
          </w:p>
        </w:tc>
      </w:tr>
      <w:tr>
        <w:tc>
          <w:tcPr>
            <w:tcW w:w="230" w:type="dxa"/>
            <w:tcBorders/>
            <w:vAlign w:val="center"/>
          </w:tcPr>
          <w:p>
            <w:pPr>
              <w:pStyle w:val="TableContents"/>
              <w:bidi w:val="0"/>
              <w:spacing w:before="0" w:after="283"/>
              <w:jc w:val="left"/>
            </w:pPr>
            <w:r>
              <w:t> </w:t>
            </w:r>
          </w:p>
        </w:tc>
        <w:tc>
          <w:tcPr>
            <w:tcW w:w="99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w:t>
            </w:r>
            <w:r>
              <w:rPr>
                <w:rFonts w:ascii="Times New Roman" w:hAnsi="Times New Roman"/>
                <w:b/>
                <w:caps w:val="false"/>
                <w:smallCaps w:val="false"/>
                <w:sz w:val="20"/>
              </w:rPr>
              <w:t>_______________ to 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000-31311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PDF SOLUTIONS,</w:t>
      </w:r>
      <w:r>
        <w:rPr>
          <w:rFonts w:ascii="Times New Roman" w:hAnsi="Times New Roman"/>
          <w:caps w:val="false"/>
          <w:smallCaps w:val="false"/>
          <w:sz w:val="32"/>
        </w:rPr>
        <w:t> </w:t>
      </w:r>
      <w:r>
        <w:rPr>
          <w:rFonts w:ascii="Times New Roman" w:hAnsi="Times New Roman"/>
          <w:b/>
          <w:caps w:val="false"/>
          <w:smallCaps w:val="false"/>
          <w:sz w:val="32"/>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4940"/>
        <w:gridCol w:w="2900"/>
      </w:tblGrid>
      <w:tr>
        <w:tc>
          <w:tcPr>
            <w:tcW w:w="49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25-1701361</w:t>
            </w:r>
          </w:p>
        </w:tc>
      </w:tr>
      <w:tr>
        <w:tc>
          <w:tcPr>
            <w:tcW w:w="49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r>
        <w:tc>
          <w:tcPr>
            <w:tcW w:w="4940" w:type="dxa"/>
            <w:tcBorders/>
            <w:vAlign w:val="center"/>
          </w:tcPr>
          <w:p>
            <w:pPr>
              <w:pStyle w:val="TableContents"/>
              <w:bidi w:val="0"/>
              <w:spacing w:before="0" w:after="283"/>
              <w:jc w:val="left"/>
            </w:pPr>
            <w:r>
              <w:t> </w:t>
            </w:r>
          </w:p>
        </w:tc>
        <w:tc>
          <w:tcPr>
            <w:tcW w:w="2900" w:type="dxa"/>
            <w:tcBorders/>
            <w:vAlign w:val="center"/>
          </w:tcPr>
          <w:p>
            <w:pPr>
              <w:pStyle w:val="TableContents"/>
              <w:bidi w:val="0"/>
              <w:spacing w:before="0" w:after="283"/>
              <w:jc w:val="left"/>
            </w:pPr>
            <w:r>
              <w:t> </w:t>
            </w:r>
          </w:p>
        </w:tc>
      </w:tr>
      <w:tr>
        <w:tc>
          <w:tcPr>
            <w:tcW w:w="49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2858 De La Cruz Blvd.</w:t>
            </w:r>
          </w:p>
        </w:tc>
        <w:tc>
          <w:tcPr>
            <w:tcW w:w="2900" w:type="dxa"/>
            <w:tcBorders/>
            <w:vAlign w:val="center"/>
          </w:tcPr>
          <w:p>
            <w:pPr>
              <w:pStyle w:val="TableContents"/>
              <w:bidi w:val="0"/>
              <w:spacing w:before="0" w:after="283"/>
              <w:jc w:val="left"/>
            </w:pPr>
            <w:r>
              <w:t> </w:t>
            </w:r>
          </w:p>
        </w:tc>
      </w:tr>
      <w:tr>
        <w:tc>
          <w:tcPr>
            <w:tcW w:w="49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Santa Clara, California</w:t>
            </w:r>
            <w:r>
              <w:rPr>
                <w:rFonts w:ascii="Times New Roman" w:hAnsi="Times New Roman"/>
                <w:caps w:val="false"/>
                <w:smallCaps w:val="false"/>
                <w:sz w:val="20"/>
              </w:rPr>
              <w:t> </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95050</w:t>
            </w:r>
            <w:r>
              <w:rPr>
                <w:rFonts w:ascii="Times New Roman" w:hAnsi="Times New Roman"/>
                <w:caps w:val="false"/>
                <w:smallCaps w:val="false"/>
                <w:sz w:val="20"/>
              </w:rPr>
              <w:t> </w:t>
            </w:r>
          </w:p>
        </w:tc>
      </w:tr>
      <w:tr>
        <w:tc>
          <w:tcPr>
            <w:tcW w:w="49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(408) 280-7900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55" w:type="dxa"/>
        <w:jc w:val="left"/>
        <w:tblInd w:w="0" w:type="dxa"/>
        <w:tblLayout w:type="fixed"/>
        <w:tblCellMar>
          <w:top w:w="28" w:type="dxa"/>
          <w:left w:w="28" w:type="dxa"/>
          <w:bottom w:w="28" w:type="dxa"/>
          <w:right w:w="0" w:type="dxa"/>
        </w:tblCellMar>
      </w:tblPr>
      <w:tblGrid>
        <w:gridCol w:w="2945"/>
        <w:gridCol w:w="1535"/>
        <w:gridCol w:w="3575"/>
      </w:tblGrid>
      <w:tr>
        <w:tc>
          <w:tcPr>
            <w:tcW w:w="294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c>
          <w:tcPr>
            <w:tcW w:w="2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$0.00015 par value</w:t>
            </w:r>
          </w:p>
        </w:tc>
        <w:tc>
          <w:tcPr>
            <w:tcW w:w="15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PDFS</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noBreakHyphen/>
        <w:t>2 of the Exchange Act.</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045"/>
        <w:gridCol w:w="2450"/>
      </w:tblGrid>
      <w:tr>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c>
          <w:tcPr>
            <w:tcW w:w="2045" w:type="dxa"/>
            <w:tcBorders/>
            <w:vAlign w:val="center"/>
          </w:tcPr>
          <w:p>
            <w:pPr>
              <w:pStyle w:val="TableContents"/>
              <w:bidi w:val="0"/>
              <w:spacing w:before="0" w:after="283"/>
              <w:jc w:val="left"/>
            </w:pPr>
            <w: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w:t>
        <w:noBreakHyphen/>
        <w:t>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42,251,428 shares of the Registrant’s Common Stock outstanding as of November 2, 2026.</w:t>
      </w:r>
    </w:p>
    <w:p>
      <w:pPr>
        <w:pStyle w:val="HorizontalLine"/>
        <w:pBdr>
          <w:bottom w:val="double" w:sz="2" w:space="0" w:color="808080"/>
        </w:pBdr>
        <w:bidi w:val="0"/>
        <w:spacing w:before="0" w:after="283"/>
        <w:jc w:val="left"/>
      </w:pPr>
      <w:r/>
    </w:p>
    <w:p>
      <w:pPr>
        <w:pStyle w:val="HorizontalLine"/>
        <w:pBdr>
          <w:bottom w:val="double" w:sz="2" w:space="0" w:color="808080"/>
        </w:pBdr>
        <w:bidi w:val="0"/>
        <w:spacing w:before="0" w:after="283"/>
        <w:jc w:val="left"/>
      </w:p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pPr>
      <w: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880"/>
        <w:gridCol w:w="440"/>
      </w:tblGrid>
      <w:tr>
        <w:tc>
          <w:tcPr>
            <w:tcW w:w="7880" w:type="dxa"/>
            <w:tcBorders/>
            <w:vAlign w:val="center"/>
          </w:tcPr>
          <w:p>
            <w:pPr>
              <w:pStyle w:val="TableContents"/>
              <w:bidi w:val="0"/>
              <w:spacing w:before="0" w:after="283"/>
              <w:jc w:val="left"/>
            </w:pPr>
            <w: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c>
          <w:tcPr>
            <w:tcW w:w="7880" w:type="dxa"/>
            <w:tcBorders/>
            <w:vAlign w:val="center"/>
          </w:tcPr>
          <w:p>
            <w:pPr>
              <w:pStyle w:val="TableContents"/>
              <w:bidi w:val="0"/>
              <w:spacing w:before="0" w:after="0"/>
              <w:ind w:left="0" w:right="0" w:hanging="0"/>
              <w:jc w:val="left"/>
            </w:pPr>
            <w:hyperlink w:anchor="part1">
              <w:r>
                <w:rPr>
                  <w:rStyle w:val="InternetLink"/>
                  <w:rFonts w:ascii="Times New Roman" w:hAnsi="Times New Roman"/>
                  <w:b/>
                  <w:caps w:val="false"/>
                  <w:smallCaps w:val="false"/>
                  <w:sz w:val="20"/>
                </w:rPr>
                <w:t>PART</w:t>
              </w:r>
            </w:hyperlink>
            <w:hyperlink w:anchor="part1">
              <w:r>
                <w:rPr>
                  <w:rStyle w:val="InternetLink"/>
                  <w:rFonts w:ascii="Times New Roman" w:hAnsi="Times New Roman"/>
                  <w:caps w:val="false"/>
                  <w:smallCaps w:val="false"/>
                  <w:sz w:val="20"/>
                </w:rPr>
                <w:t> </w:t>
              </w:r>
            </w:hyperlink>
            <w:hyperlink w:anchor="part1">
              <w:r>
                <w:rPr>
                  <w:rStyle w:val="InternetLink"/>
                  <w:rFonts w:ascii="Times New Roman" w:hAnsi="Times New Roman"/>
                  <w:b/>
                  <w:caps w:val="false"/>
                  <w:smallCaps w:val="false"/>
                  <w:sz w:val="20"/>
                </w:rPr>
                <w:t>I FINANCIAL INFORMATION</w:t>
              </w:r>
            </w:hyperlink>
          </w:p>
        </w:tc>
        <w:tc>
          <w:tcPr>
            <w:tcW w:w="440" w:type="dxa"/>
            <w:tcBorders/>
            <w:vAlign w:val="center"/>
          </w:tcPr>
          <w:p>
            <w:pPr>
              <w:pStyle w:val="TableContents"/>
              <w:bidi w:val="0"/>
              <w:spacing w:before="0" w:after="283"/>
              <w:jc w:val="left"/>
            </w:pPr>
            <w:r>
              <w:t> </w:t>
            </w:r>
          </w:p>
        </w:tc>
      </w:tr>
      <w:tr>
        <w:tc>
          <w:tcPr>
            <w:tcW w:w="7880" w:type="dxa"/>
            <w:tcBorders/>
            <w:vAlign w:val="center"/>
          </w:tcPr>
          <w:p>
            <w:pPr>
              <w:pStyle w:val="TableContents"/>
              <w:bidi w:val="0"/>
              <w:spacing w:before="0" w:after="0"/>
              <w:ind w:left="0" w:right="0" w:hanging="0"/>
              <w:jc w:val="left"/>
            </w:pPr>
            <w:hyperlink w:anchor="finstmts">
              <w:r>
                <w:rPr>
                  <w:rStyle w:val="InternetLink"/>
                  <w:rFonts w:ascii="Times New Roman" w:hAnsi="Times New Roman"/>
                  <w:caps w:val="false"/>
                  <w:smallCaps w:val="false"/>
                  <w:sz w:val="20"/>
                </w:rPr>
                <w:t>Item 1. Financial Statements (Unaudited)</w:t>
              </w:r>
            </w:hyperlink>
          </w:p>
        </w:tc>
        <w:tc>
          <w:tcPr>
            <w:tcW w:w="440" w:type="dxa"/>
            <w:tcBorders/>
            <w:vAlign w:val="center"/>
          </w:tcPr>
          <w:p>
            <w:pPr>
              <w:pStyle w:val="TableContents"/>
              <w:bidi w:val="0"/>
              <w:spacing w:before="0" w:after="283"/>
              <w:jc w:val="left"/>
            </w:pPr>
            <w:r>
              <w:t> </w:t>
            </w:r>
          </w:p>
        </w:tc>
      </w:tr>
      <w:tr>
        <w:tc>
          <w:tcPr>
            <w:tcW w:w="7880" w:type="dxa"/>
            <w:tcBorders/>
            <w:vAlign w:val="center"/>
          </w:tcPr>
          <w:p>
            <w:pPr>
              <w:pStyle w:val="TableContents"/>
              <w:bidi w:val="0"/>
              <w:spacing w:before="0" w:after="0"/>
              <w:ind w:left="180" w:right="0" w:hanging="0"/>
              <w:jc w:val="left"/>
            </w:pPr>
            <w:hyperlink w:anchor="bs">
              <w:r>
                <w:rPr>
                  <w:rStyle w:val="InternetLink"/>
                  <w:rFonts w:ascii="Times New Roman" w:hAnsi="Times New Roman"/>
                  <w:caps w:val="false"/>
                  <w:smallCaps w:val="false"/>
                  <w:sz w:val="20"/>
                </w:rPr>
                <w:t>Condensed Consolidated Balance Sheets</w:t>
              </w:r>
            </w:hyperlink>
          </w:p>
        </w:tc>
        <w:tc>
          <w:tcPr>
            <w:tcW w:w="440" w:type="dxa"/>
            <w:tcBorders/>
            <w:vAlign w:val="center"/>
          </w:tcPr>
          <w:p>
            <w:pPr>
              <w:pStyle w:val="TableContents"/>
              <w:bidi w:val="0"/>
              <w:spacing w:before="0" w:after="0"/>
              <w:ind w:left="0" w:right="0" w:hanging="0"/>
              <w:jc w:val="right"/>
            </w:pPr>
            <w:hyperlink w:anchor="bs">
              <w:r>
                <w:rPr>
                  <w:rStyle w:val="InternetLink"/>
                  <w:rFonts w:ascii="Times New Roman" w:hAnsi="Times New Roman"/>
                  <w:caps w:val="false"/>
                  <w:smallCaps w:val="false"/>
                  <w:sz w:val="20"/>
                </w:rPr>
                <w:t>3</w:t>
              </w:r>
            </w:hyperlink>
          </w:p>
        </w:tc>
      </w:tr>
      <w:tr>
        <w:tc>
          <w:tcPr>
            <w:tcW w:w="7880" w:type="dxa"/>
            <w:tcBorders/>
            <w:vAlign w:val="center"/>
          </w:tcPr>
          <w:p>
            <w:pPr>
              <w:pStyle w:val="TableContents"/>
              <w:bidi w:val="0"/>
              <w:spacing w:before="0" w:after="0"/>
              <w:ind w:left="180" w:right="0" w:hanging="0"/>
              <w:jc w:val="left"/>
            </w:pPr>
            <w:hyperlink w:anchor="incomeloss">
              <w:r>
                <w:rPr>
                  <w:rStyle w:val="InternetLink"/>
                  <w:rFonts w:ascii="Times New Roman" w:hAnsi="Times New Roman"/>
                  <w:caps w:val="false"/>
                  <w:smallCaps w:val="false"/>
                  <w:sz w:val="20"/>
                </w:rPr>
                <w:t>Condensed Consolidated Statements of Operations and Comprehensive Income (Loss)</w:t>
              </w:r>
            </w:hyperlink>
          </w:p>
        </w:tc>
        <w:tc>
          <w:tcPr>
            <w:tcW w:w="440" w:type="dxa"/>
            <w:tcBorders/>
            <w:vAlign w:val="center"/>
          </w:tcPr>
          <w:p>
            <w:pPr>
              <w:pStyle w:val="TableContents"/>
              <w:bidi w:val="0"/>
              <w:spacing w:before="0" w:after="0"/>
              <w:ind w:left="0" w:right="0" w:hanging="0"/>
              <w:jc w:val="right"/>
            </w:pPr>
            <w:hyperlink w:anchor="incomeloss">
              <w:r>
                <w:rPr>
                  <w:rStyle w:val="InternetLink"/>
                  <w:rFonts w:ascii="Times New Roman" w:hAnsi="Times New Roman"/>
                  <w:caps w:val="false"/>
                  <w:smallCaps w:val="false"/>
                  <w:sz w:val="20"/>
                </w:rPr>
                <w:t>4</w:t>
              </w:r>
            </w:hyperlink>
          </w:p>
        </w:tc>
      </w:tr>
      <w:tr>
        <w:tc>
          <w:tcPr>
            <w:tcW w:w="7880" w:type="dxa"/>
            <w:tcBorders/>
            <w:vAlign w:val="center"/>
          </w:tcPr>
          <w:p>
            <w:pPr>
              <w:pStyle w:val="TableContents"/>
              <w:bidi w:val="0"/>
              <w:spacing w:before="0" w:after="0"/>
              <w:ind w:left="180" w:right="0" w:hanging="0"/>
              <w:jc w:val="left"/>
            </w:pPr>
            <w:hyperlink w:anchor="se">
              <w:r>
                <w:rPr>
                  <w:rStyle w:val="InternetLink"/>
                  <w:rFonts w:ascii="Times New Roman" w:hAnsi="Times New Roman"/>
                  <w:caps w:val="false"/>
                  <w:smallCaps w:val="false"/>
                  <w:sz w:val="20"/>
                </w:rPr>
                <w:t>Condensed Consolidated Statements of Stockholders’ Equity</w:t>
              </w:r>
            </w:hyperlink>
          </w:p>
        </w:tc>
        <w:tc>
          <w:tcPr>
            <w:tcW w:w="440" w:type="dxa"/>
            <w:tcBorders/>
            <w:vAlign w:val="center"/>
          </w:tcPr>
          <w:p>
            <w:pPr>
              <w:pStyle w:val="TableContents"/>
              <w:bidi w:val="0"/>
              <w:spacing w:before="0" w:after="0"/>
              <w:ind w:left="0" w:right="0" w:hanging="0"/>
              <w:jc w:val="right"/>
            </w:pPr>
            <w:hyperlink w:anchor="se">
              <w:r>
                <w:rPr>
                  <w:rStyle w:val="InternetLink"/>
                  <w:rFonts w:ascii="Times New Roman" w:hAnsi="Times New Roman"/>
                  <w:caps w:val="false"/>
                  <w:smallCaps w:val="false"/>
                  <w:sz w:val="20"/>
                </w:rPr>
                <w:t>5</w:t>
              </w:r>
            </w:hyperlink>
          </w:p>
        </w:tc>
      </w:tr>
      <w:tr>
        <w:tc>
          <w:tcPr>
            <w:tcW w:w="7880" w:type="dxa"/>
            <w:tcBorders/>
            <w:vAlign w:val="center"/>
          </w:tcPr>
          <w:p>
            <w:pPr>
              <w:pStyle w:val="TableContents"/>
              <w:bidi w:val="0"/>
              <w:spacing w:before="0" w:after="0"/>
              <w:ind w:left="180" w:right="0" w:hanging="0"/>
              <w:jc w:val="left"/>
            </w:pPr>
            <w:hyperlink w:anchor="cf">
              <w:r>
                <w:rPr>
                  <w:rStyle w:val="InternetLink"/>
                  <w:rFonts w:ascii="Times New Roman" w:hAnsi="Times New Roman"/>
                  <w:caps w:val="false"/>
                  <w:smallCaps w:val="false"/>
                  <w:sz w:val="20"/>
                </w:rPr>
                <w:t>Condensed Consolidated Statements of Cash Flows</w:t>
              </w:r>
            </w:hyperlink>
          </w:p>
        </w:tc>
        <w:tc>
          <w:tcPr>
            <w:tcW w:w="440" w:type="dxa"/>
            <w:tcBorders/>
            <w:vAlign w:val="center"/>
          </w:tcPr>
          <w:p>
            <w:pPr>
              <w:pStyle w:val="TableContents"/>
              <w:bidi w:val="0"/>
              <w:spacing w:before="0" w:after="0"/>
              <w:ind w:left="0" w:right="0" w:hanging="0"/>
              <w:jc w:val="right"/>
            </w:pPr>
            <w:hyperlink w:anchor="cf">
              <w:r>
                <w:rPr>
                  <w:rStyle w:val="InternetLink"/>
                  <w:rFonts w:ascii="Times New Roman" w:hAnsi="Times New Roman"/>
                  <w:caps w:val="false"/>
                  <w:smallCaps w:val="false"/>
                  <w:sz w:val="20"/>
                </w:rPr>
                <w:t>7</w:t>
              </w:r>
            </w:hyperlink>
          </w:p>
        </w:tc>
      </w:tr>
      <w:tr>
        <w:tc>
          <w:tcPr>
            <w:tcW w:w="7880" w:type="dxa"/>
            <w:tcBorders/>
            <w:vAlign w:val="center"/>
          </w:tcPr>
          <w:p>
            <w:pPr>
              <w:pStyle w:val="TableContents"/>
              <w:bidi w:val="0"/>
              <w:spacing w:before="0" w:after="0"/>
              <w:ind w:left="180" w:right="0" w:hanging="0"/>
              <w:jc w:val="left"/>
            </w:pPr>
            <w:hyperlink w:anchor="notes">
              <w:r>
                <w:rPr>
                  <w:rStyle w:val="InternetLink"/>
                  <w:rFonts w:ascii="Times New Roman" w:hAnsi="Times New Roman"/>
                  <w:caps w:val="false"/>
                  <w:smallCaps w:val="false"/>
                  <w:sz w:val="20"/>
                </w:rPr>
                <w:t>Notes to Condensed Consolidated Financial Statements</w:t>
              </w:r>
            </w:hyperlink>
          </w:p>
        </w:tc>
        <w:tc>
          <w:tcPr>
            <w:tcW w:w="440" w:type="dxa"/>
            <w:tcBorders/>
            <w:vAlign w:val="center"/>
          </w:tcPr>
          <w:p>
            <w:pPr>
              <w:pStyle w:val="TableContents"/>
              <w:bidi w:val="0"/>
              <w:spacing w:before="0" w:after="0"/>
              <w:ind w:left="0" w:right="0" w:hanging="0"/>
              <w:jc w:val="right"/>
            </w:pPr>
            <w:hyperlink w:anchor="notes">
              <w:r>
                <w:rPr>
                  <w:rStyle w:val="InternetLink"/>
                  <w:rFonts w:ascii="Times New Roman" w:hAnsi="Times New Roman"/>
                  <w:caps w:val="false"/>
                  <w:smallCaps w:val="false"/>
                  <w:sz w:val="20"/>
                </w:rPr>
                <w:t>9</w:t>
              </w:r>
            </w:hyperlink>
          </w:p>
        </w:tc>
      </w:tr>
      <w:tr>
        <w:tc>
          <w:tcPr>
            <w:tcW w:w="7880" w:type="dxa"/>
            <w:tcBorders/>
            <w:vAlign w:val="center"/>
          </w:tcPr>
          <w:p>
            <w:pPr>
              <w:pStyle w:val="TableContents"/>
              <w:bidi w:val="0"/>
              <w:spacing w:before="0" w:after="0"/>
              <w:ind w:left="0" w:right="0" w:hanging="0"/>
              <w:jc w:val="left"/>
            </w:pPr>
            <w:hyperlink w:anchor="mda">
              <w:r>
                <w:rPr>
                  <w:rStyle w:val="InternetLink"/>
                  <w:rFonts w:ascii="Times New Roman" w:hAnsi="Times New Roman"/>
                  <w:caps w:val="false"/>
                  <w:smallCaps w:val="false"/>
                  <w:sz w:val="20"/>
                </w:rPr>
                <w:t>Item 2. 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pPr>
            <w:hyperlink w:anchor="mda">
              <w:r>
                <w:rPr>
                  <w:rStyle w:val="InternetLink"/>
                  <w:rFonts w:ascii="Times New Roman" w:hAnsi="Times New Roman"/>
                  <w:caps w:val="false"/>
                  <w:smallCaps w:val="false"/>
                  <w:sz w:val="20"/>
                </w:rPr>
                <w:t>30</w:t>
              </w:r>
            </w:hyperlink>
          </w:p>
        </w:tc>
      </w:tr>
      <w:tr>
        <w:tc>
          <w:tcPr>
            <w:tcW w:w="7880" w:type="dxa"/>
            <w:tcBorders/>
            <w:vAlign w:val="center"/>
          </w:tcPr>
          <w:p>
            <w:pPr>
              <w:pStyle w:val="TableContents"/>
              <w:bidi w:val="0"/>
              <w:spacing w:before="0" w:after="0"/>
              <w:ind w:left="0" w:right="0" w:hanging="0"/>
              <w:jc w:val="left"/>
            </w:pPr>
            <w:hyperlink w:anchor="quant">
              <w:r>
                <w:rPr>
                  <w:rStyle w:val="InternetLink"/>
                  <w:rFonts w:ascii="Times New Roman" w:hAnsi="Times New Roman"/>
                  <w:caps w:val="false"/>
                  <w:smallCaps w:val="false"/>
                  <w:sz w:val="20"/>
                </w:rPr>
                <w:t>Item 3. Quantitative and Qualitative Disclosures About Market Risk</w:t>
              </w:r>
            </w:hyperlink>
          </w:p>
        </w:tc>
        <w:tc>
          <w:tcPr>
            <w:tcW w:w="440" w:type="dxa"/>
            <w:tcBorders/>
            <w:vAlign w:val="center"/>
          </w:tcPr>
          <w:p>
            <w:pPr>
              <w:pStyle w:val="TableContents"/>
              <w:bidi w:val="0"/>
              <w:spacing w:before="0" w:after="0"/>
              <w:ind w:left="0" w:right="0" w:hanging="0"/>
              <w:jc w:val="right"/>
            </w:pPr>
            <w:hyperlink w:anchor="quant">
              <w:r>
                <w:rPr>
                  <w:rStyle w:val="InternetLink"/>
                  <w:rFonts w:ascii="Times New Roman" w:hAnsi="Times New Roman"/>
                  <w:caps w:val="false"/>
                  <w:smallCaps w:val="false"/>
                  <w:sz w:val="20"/>
                </w:rPr>
                <w:t>40</w:t>
              </w:r>
            </w:hyperlink>
          </w:p>
        </w:tc>
      </w:tr>
      <w:tr>
        <w:tc>
          <w:tcPr>
            <w:tcW w:w="7880" w:type="dxa"/>
            <w:tcBorders/>
            <w:vAlign w:val="center"/>
          </w:tcPr>
          <w:p>
            <w:pPr>
              <w:pStyle w:val="TableContents"/>
              <w:bidi w:val="0"/>
              <w:spacing w:before="0" w:after="0"/>
              <w:ind w:left="0" w:right="0" w:hanging="0"/>
              <w:jc w:val="left"/>
            </w:pPr>
            <w:hyperlink w:anchor="controls">
              <w:r>
                <w:rPr>
                  <w:rStyle w:val="InternetLink"/>
                  <w:rFonts w:ascii="Times New Roman" w:hAnsi="Times New Roman"/>
                  <w:caps w:val="false"/>
                  <w:smallCaps w:val="false"/>
                  <w:sz w:val="20"/>
                </w:rPr>
                <w:t>Item 4. Controls and Procedures</w:t>
              </w:r>
            </w:hyperlink>
          </w:p>
        </w:tc>
        <w:tc>
          <w:tcPr>
            <w:tcW w:w="440" w:type="dxa"/>
            <w:tcBorders/>
            <w:vAlign w:val="center"/>
          </w:tcPr>
          <w:p>
            <w:pPr>
              <w:pStyle w:val="TableContents"/>
              <w:bidi w:val="0"/>
              <w:spacing w:before="0" w:after="0"/>
              <w:ind w:left="0" w:right="0" w:hanging="0"/>
              <w:jc w:val="right"/>
            </w:pPr>
            <w:hyperlink w:anchor="controls">
              <w:r>
                <w:rPr>
                  <w:rStyle w:val="InternetLink"/>
                  <w:rFonts w:ascii="Times New Roman" w:hAnsi="Times New Roman"/>
                  <w:caps w:val="false"/>
                  <w:smallCaps w:val="false"/>
                  <w:sz w:val="20"/>
                </w:rPr>
                <w:t>41</w:t>
              </w:r>
            </w:hyperlink>
          </w:p>
        </w:tc>
      </w:tr>
      <w:tr>
        <w:tc>
          <w:tcPr>
            <w:tcW w:w="7880" w:type="dxa"/>
            <w:tcBorders/>
            <w:vAlign w:val="center"/>
          </w:tcPr>
          <w:p>
            <w:pPr>
              <w:pStyle w:val="TableContents"/>
              <w:bidi w:val="0"/>
              <w:spacing w:before="0" w:after="0"/>
              <w:ind w:left="0" w:right="0" w:hanging="0"/>
              <w:jc w:val="left"/>
            </w:pPr>
            <w:hyperlink w:anchor="part2">
              <w:r>
                <w:rPr>
                  <w:rStyle w:val="InternetLink"/>
                  <w:rFonts w:ascii="Times New Roman" w:hAnsi="Times New Roman"/>
                  <w:b/>
                  <w:caps w:val="false"/>
                  <w:smallCaps w:val="false"/>
                  <w:sz w:val="20"/>
                </w:rPr>
                <w:t>PART</w:t>
              </w:r>
            </w:hyperlink>
            <w:hyperlink w:anchor="part2">
              <w:r>
                <w:rPr>
                  <w:rStyle w:val="InternetLink"/>
                  <w:rFonts w:ascii="Times New Roman" w:hAnsi="Times New Roman"/>
                  <w:caps w:val="false"/>
                  <w:smallCaps w:val="false"/>
                  <w:sz w:val="20"/>
                </w:rPr>
                <w:t> </w:t>
              </w:r>
            </w:hyperlink>
            <w:hyperlink w:anchor="part2">
              <w:r>
                <w:rPr>
                  <w:rStyle w:val="InternetLink"/>
                  <w:rFonts w:ascii="Times New Roman" w:hAnsi="Times New Roman"/>
                  <w:b/>
                  <w:caps w:val="false"/>
                  <w:smallCaps w:val="false"/>
                  <w:sz w:val="20"/>
                </w:rPr>
                <w:t>II</w:t>
              </w:r>
            </w:hyperlink>
            <w:hyperlink w:anchor="part2">
              <w:r>
                <w:rPr>
                  <w:rStyle w:val="InternetLink"/>
                  <w:rFonts w:ascii="Times New Roman" w:hAnsi="Times New Roman"/>
                  <w:caps w:val="false"/>
                  <w:smallCaps w:val="false"/>
                  <w:sz w:val="20"/>
                </w:rPr>
                <w:t> </w:t>
              </w:r>
            </w:hyperlink>
            <w:hyperlink w:anchor="part2">
              <w:r>
                <w:rPr>
                  <w:rStyle w:val="InternetLink"/>
                  <w:rFonts w:ascii="Times New Roman" w:hAnsi="Times New Roman"/>
                  <w:b/>
                  <w:caps w:val="false"/>
                  <w:smallCaps w:val="false"/>
                  <w:sz w:val="20"/>
                </w:rPr>
                <w:t>OTHER INFORMATION</w:t>
              </w:r>
            </w:hyperlink>
          </w:p>
        </w:tc>
        <w:tc>
          <w:tcPr>
            <w:tcW w:w="440" w:type="dxa"/>
            <w:tcBorders/>
            <w:vAlign w:val="center"/>
          </w:tcPr>
          <w:p>
            <w:pPr>
              <w:pStyle w:val="TableContents"/>
              <w:bidi w:val="0"/>
              <w:spacing w:before="0" w:after="283"/>
              <w:jc w:val="left"/>
            </w:pPr>
            <w:r>
              <w:t> </w:t>
            </w:r>
          </w:p>
        </w:tc>
      </w:tr>
      <w:tr>
        <w:tc>
          <w:tcPr>
            <w:tcW w:w="7880" w:type="dxa"/>
            <w:tcBorders/>
            <w:vAlign w:val="center"/>
          </w:tcPr>
          <w:p>
            <w:pPr>
              <w:pStyle w:val="TableContents"/>
              <w:bidi w:val="0"/>
              <w:spacing w:before="0" w:after="0"/>
              <w:ind w:left="0" w:right="0" w:hanging="0"/>
              <w:jc w:val="left"/>
            </w:pPr>
            <w:hyperlink w:anchor="legal">
              <w:r>
                <w:rPr>
                  <w:rStyle w:val="InternetLink"/>
                  <w:rFonts w:ascii="Times New Roman" w:hAnsi="Times New Roman"/>
                  <w:caps w:val="false"/>
                  <w:smallCaps w:val="false"/>
                  <w:sz w:val="20"/>
                </w:rPr>
                <w:t>Item 1. Legal Proceedings</w:t>
              </w:r>
            </w:hyperlink>
          </w:p>
        </w:tc>
        <w:tc>
          <w:tcPr>
            <w:tcW w:w="440" w:type="dxa"/>
            <w:tcBorders/>
            <w:vAlign w:val="center"/>
          </w:tcPr>
          <w:p>
            <w:pPr>
              <w:pStyle w:val="TableContents"/>
              <w:bidi w:val="0"/>
              <w:spacing w:before="0" w:after="0"/>
              <w:ind w:left="0" w:right="0" w:hanging="0"/>
              <w:jc w:val="right"/>
            </w:pPr>
            <w:hyperlink w:anchor="legal">
              <w:r>
                <w:rPr>
                  <w:rStyle w:val="InternetLink"/>
                  <w:rFonts w:ascii="Times New Roman" w:hAnsi="Times New Roman"/>
                  <w:caps w:val="false"/>
                  <w:smallCaps w:val="false"/>
                  <w:sz w:val="20"/>
                </w:rPr>
                <w:t>41</w:t>
              </w:r>
            </w:hyperlink>
          </w:p>
        </w:tc>
      </w:tr>
      <w:tr>
        <w:tc>
          <w:tcPr>
            <w:tcW w:w="7880" w:type="dxa"/>
            <w:tcBorders/>
            <w:vAlign w:val="center"/>
          </w:tcPr>
          <w:p>
            <w:pPr>
              <w:pStyle w:val="TableContents"/>
              <w:bidi w:val="0"/>
              <w:spacing w:before="0" w:after="0"/>
              <w:ind w:left="0" w:right="0" w:hanging="0"/>
              <w:jc w:val="left"/>
            </w:pPr>
            <w:hyperlink w:anchor="risk">
              <w:r>
                <w:rPr>
                  <w:rStyle w:val="InternetLink"/>
                  <w:rFonts w:ascii="Times New Roman" w:hAnsi="Times New Roman"/>
                  <w:caps w:val="false"/>
                  <w:smallCaps w:val="false"/>
                  <w:sz w:val="20"/>
                </w:rPr>
                <w:t>Item 1A. Risk Factors</w:t>
              </w:r>
            </w:hyperlink>
          </w:p>
        </w:tc>
        <w:tc>
          <w:tcPr>
            <w:tcW w:w="440" w:type="dxa"/>
            <w:tcBorders/>
            <w:vAlign w:val="center"/>
          </w:tcPr>
          <w:p>
            <w:pPr>
              <w:pStyle w:val="TableContents"/>
              <w:bidi w:val="0"/>
              <w:spacing w:before="0" w:after="0"/>
              <w:ind w:left="0" w:right="0" w:hanging="0"/>
              <w:jc w:val="right"/>
            </w:pPr>
            <w:hyperlink w:anchor="risk">
              <w:r>
                <w:rPr>
                  <w:rStyle w:val="InternetLink"/>
                  <w:rFonts w:ascii="Times New Roman" w:hAnsi="Times New Roman"/>
                  <w:caps w:val="false"/>
                  <w:smallCaps w:val="false"/>
                  <w:sz w:val="20"/>
                </w:rPr>
                <w:t>41</w:t>
              </w:r>
            </w:hyperlink>
          </w:p>
        </w:tc>
      </w:tr>
      <w:tr>
        <w:tc>
          <w:tcPr>
            <w:tcW w:w="7880" w:type="dxa"/>
            <w:tcBorders/>
            <w:vAlign w:val="center"/>
          </w:tcPr>
          <w:p>
            <w:pPr>
              <w:pStyle w:val="TableContents"/>
              <w:bidi w:val="0"/>
              <w:spacing w:before="0" w:after="0"/>
              <w:ind w:left="0" w:right="0" w:hanging="0"/>
              <w:jc w:val="left"/>
            </w:pPr>
            <w:hyperlink w:anchor="unregistered">
              <w:r>
                <w:rPr>
                  <w:rStyle w:val="InternetLink"/>
                  <w:rFonts w:ascii="Times New Roman" w:hAnsi="Times New Roman"/>
                  <w:caps w:val="false"/>
                  <w:smallCaps w:val="false"/>
                  <w:sz w:val="20"/>
                </w:rPr>
                <w:t>Item 2. Unregistered Sales of Equity Securities and Use of Proceeds</w:t>
              </w:r>
            </w:hyperlink>
          </w:p>
        </w:tc>
        <w:tc>
          <w:tcPr>
            <w:tcW w:w="440" w:type="dxa"/>
            <w:tcBorders/>
            <w:vAlign w:val="center"/>
          </w:tcPr>
          <w:p>
            <w:pPr>
              <w:pStyle w:val="TableContents"/>
              <w:bidi w:val="0"/>
              <w:spacing w:before="0" w:after="0"/>
              <w:ind w:left="0" w:right="0" w:hanging="0"/>
              <w:jc w:val="right"/>
            </w:pPr>
            <w:hyperlink w:anchor="unregistered">
              <w:r>
                <w:rPr>
                  <w:rStyle w:val="InternetLink"/>
                  <w:rFonts w:ascii="Times New Roman" w:hAnsi="Times New Roman"/>
                  <w:caps w:val="false"/>
                  <w:smallCaps w:val="false"/>
                  <w:sz w:val="20"/>
                </w:rPr>
                <w:t>41</w:t>
              </w:r>
            </w:hyperlink>
          </w:p>
        </w:tc>
      </w:tr>
      <w:tr>
        <w:tc>
          <w:tcPr>
            <w:tcW w:w="7880" w:type="dxa"/>
            <w:tcBorders/>
            <w:vAlign w:val="center"/>
          </w:tcPr>
          <w:p>
            <w:pPr>
              <w:pStyle w:val="TableContents"/>
              <w:bidi w:val="0"/>
              <w:spacing w:before="0" w:after="0"/>
              <w:ind w:left="0" w:right="0" w:hanging="0"/>
              <w:jc w:val="left"/>
            </w:pPr>
            <w:hyperlink w:anchor="defaults">
              <w:r>
                <w:rPr>
                  <w:rStyle w:val="InternetLink"/>
                  <w:rFonts w:ascii="Times New Roman" w:hAnsi="Times New Roman"/>
                  <w:caps w:val="false"/>
                  <w:smallCaps w:val="false"/>
                  <w:sz w:val="20"/>
                </w:rPr>
                <w:t>Item 3. Defaults Upon Senior Securities</w:t>
              </w:r>
            </w:hyperlink>
          </w:p>
        </w:tc>
        <w:tc>
          <w:tcPr>
            <w:tcW w:w="440" w:type="dxa"/>
            <w:tcBorders/>
            <w:vAlign w:val="center"/>
          </w:tcPr>
          <w:p>
            <w:pPr>
              <w:pStyle w:val="TableContents"/>
              <w:bidi w:val="0"/>
              <w:spacing w:before="0" w:after="0"/>
              <w:ind w:left="0" w:right="0" w:hanging="0"/>
              <w:jc w:val="right"/>
            </w:pPr>
            <w:hyperlink w:anchor="defaults">
              <w:r>
                <w:rPr>
                  <w:rStyle w:val="InternetLink"/>
                  <w:rFonts w:ascii="Times New Roman" w:hAnsi="Times New Roman"/>
                  <w:caps w:val="false"/>
                  <w:smallCaps w:val="false"/>
                  <w:sz w:val="20"/>
                </w:rPr>
                <w:t>42</w:t>
              </w:r>
            </w:hyperlink>
          </w:p>
        </w:tc>
      </w:tr>
      <w:tr>
        <w:tc>
          <w:tcPr>
            <w:tcW w:w="7880" w:type="dxa"/>
            <w:tcBorders/>
            <w:vAlign w:val="center"/>
          </w:tcPr>
          <w:p>
            <w:pPr>
              <w:pStyle w:val="TableContents"/>
              <w:bidi w:val="0"/>
              <w:spacing w:before="0" w:after="0"/>
              <w:ind w:left="0" w:right="0" w:hanging="0"/>
              <w:jc w:val="left"/>
            </w:pPr>
            <w:hyperlink w:anchor="mine">
              <w:r>
                <w:rPr>
                  <w:rStyle w:val="InternetLink"/>
                  <w:rFonts w:ascii="Times New Roman" w:hAnsi="Times New Roman"/>
                  <w:caps w:val="false"/>
                  <w:smallCaps w:val="false"/>
                  <w:sz w:val="20"/>
                </w:rPr>
                <w:t>Item 4. Mine Safety Disclosures</w:t>
              </w:r>
            </w:hyperlink>
          </w:p>
        </w:tc>
        <w:tc>
          <w:tcPr>
            <w:tcW w:w="440" w:type="dxa"/>
            <w:tcBorders/>
            <w:vAlign w:val="center"/>
          </w:tcPr>
          <w:p>
            <w:pPr>
              <w:pStyle w:val="TableContents"/>
              <w:bidi w:val="0"/>
              <w:spacing w:before="0" w:after="0"/>
              <w:ind w:left="0" w:right="0" w:hanging="0"/>
              <w:jc w:val="right"/>
            </w:pPr>
            <w:hyperlink w:anchor="mine">
              <w:r>
                <w:rPr>
                  <w:rStyle w:val="InternetLink"/>
                  <w:rFonts w:ascii="Times New Roman" w:hAnsi="Times New Roman"/>
                  <w:caps w:val="false"/>
                  <w:smallCaps w:val="false"/>
                  <w:sz w:val="20"/>
                </w:rPr>
                <w:t>42</w:t>
              </w:r>
            </w:hyperlink>
          </w:p>
        </w:tc>
      </w:tr>
      <w:tr>
        <w:tc>
          <w:tcPr>
            <w:tcW w:w="7880" w:type="dxa"/>
            <w:tcBorders/>
            <w:vAlign w:val="center"/>
          </w:tcPr>
          <w:p>
            <w:pPr>
              <w:pStyle w:val="TableContents"/>
              <w:bidi w:val="0"/>
              <w:spacing w:before="0" w:after="0"/>
              <w:ind w:left="0" w:right="0" w:hanging="0"/>
              <w:jc w:val="left"/>
            </w:pPr>
            <w:hyperlink w:anchor="otherinfo">
              <w:r>
                <w:rPr>
                  <w:rStyle w:val="InternetLink"/>
                  <w:rFonts w:ascii="Times New Roman" w:hAnsi="Times New Roman"/>
                  <w:caps w:val="false"/>
                  <w:smallCaps w:val="false"/>
                  <w:sz w:val="20"/>
                </w:rPr>
                <w:t>Item 5. Other Information</w:t>
              </w:r>
            </w:hyperlink>
          </w:p>
        </w:tc>
        <w:tc>
          <w:tcPr>
            <w:tcW w:w="440" w:type="dxa"/>
            <w:tcBorders/>
            <w:vAlign w:val="center"/>
          </w:tcPr>
          <w:p>
            <w:pPr>
              <w:pStyle w:val="TableContents"/>
              <w:bidi w:val="0"/>
              <w:spacing w:before="0" w:after="0"/>
              <w:ind w:left="0" w:right="0" w:hanging="0"/>
              <w:jc w:val="right"/>
            </w:pPr>
            <w:hyperlink w:anchor="otherinfo">
              <w:r>
                <w:rPr>
                  <w:rStyle w:val="InternetLink"/>
                  <w:rFonts w:ascii="Times New Roman" w:hAnsi="Times New Roman"/>
                  <w:caps w:val="false"/>
                  <w:smallCaps w:val="false"/>
                  <w:sz w:val="20"/>
                </w:rPr>
                <w:t>42</w:t>
              </w:r>
            </w:hyperlink>
          </w:p>
        </w:tc>
      </w:tr>
      <w:tr>
        <w:tc>
          <w:tcPr>
            <w:tcW w:w="7880" w:type="dxa"/>
            <w:tcBorders/>
            <w:vAlign w:val="center"/>
          </w:tcPr>
          <w:p>
            <w:pPr>
              <w:pStyle w:val="TableContents"/>
              <w:bidi w:val="0"/>
              <w:spacing w:before="0" w:after="0"/>
              <w:ind w:left="0" w:right="0" w:hanging="0"/>
              <w:jc w:val="left"/>
            </w:pPr>
            <w:hyperlink w:anchor="exhibits">
              <w:r>
                <w:rPr>
                  <w:rStyle w:val="InternetLink"/>
                  <w:rFonts w:ascii="Times New Roman" w:hAnsi="Times New Roman"/>
                  <w:caps w:val="false"/>
                  <w:smallCaps w:val="false"/>
                  <w:sz w:val="20"/>
                </w:rPr>
                <w:t>Item 6. Exhibits</w:t>
              </w:r>
            </w:hyperlink>
          </w:p>
        </w:tc>
        <w:tc>
          <w:tcPr>
            <w:tcW w:w="440" w:type="dxa"/>
            <w:tcBorders/>
            <w:vAlign w:val="center"/>
          </w:tcPr>
          <w:p>
            <w:pPr>
              <w:pStyle w:val="TableContents"/>
              <w:bidi w:val="0"/>
              <w:spacing w:before="0" w:after="0"/>
              <w:ind w:left="0" w:right="0" w:hanging="0"/>
              <w:jc w:val="right"/>
            </w:pPr>
            <w:hyperlink w:anchor="exhibits">
              <w:r>
                <w:rPr>
                  <w:rStyle w:val="InternetLink"/>
                  <w:rFonts w:ascii="Times New Roman" w:hAnsi="Times New Roman"/>
                  <w:caps w:val="false"/>
                  <w:smallCaps w:val="false"/>
                  <w:sz w:val="20"/>
                </w:rPr>
                <w:t>43</w:t>
              </w:r>
            </w:hyperlink>
          </w:p>
        </w:tc>
      </w:tr>
      <w:tr>
        <w:tc>
          <w:tcPr>
            <w:tcW w:w="7880" w:type="dxa"/>
            <w:tcBorders/>
            <w:vAlign w:val="center"/>
          </w:tcPr>
          <w:p>
            <w:pPr>
              <w:pStyle w:val="TableContents"/>
              <w:bidi w:val="0"/>
              <w:spacing w:before="0" w:after="0"/>
              <w:ind w:left="0" w:right="0" w:hanging="0"/>
              <w:jc w:val="left"/>
            </w:pPr>
            <w:hyperlink w:anchor="exhibits">
              <w:r>
                <w:rPr>
                  <w:rStyle w:val="InternetLink"/>
                  <w:rFonts w:ascii="Times New Roman" w:hAnsi="Times New Roman"/>
                  <w:b/>
                  <w:caps w:val="false"/>
                  <w:smallCaps w:val="false"/>
                  <w:sz w:val="20"/>
                </w:rPr>
                <w:t>INDEX TO EXHIBITS</w:t>
              </w:r>
            </w:hyperlink>
          </w:p>
        </w:tc>
        <w:tc>
          <w:tcPr>
            <w:tcW w:w="440" w:type="dxa"/>
            <w:tcBorders/>
            <w:vAlign w:val="center"/>
          </w:tcPr>
          <w:p>
            <w:pPr>
              <w:pStyle w:val="TableContents"/>
              <w:bidi w:val="0"/>
              <w:spacing w:before="0" w:after="0"/>
              <w:ind w:left="0" w:right="0" w:hanging="0"/>
              <w:jc w:val="right"/>
            </w:pPr>
            <w:hyperlink w:anchor="exhibits">
              <w:r>
                <w:rPr>
                  <w:rStyle w:val="InternetLink"/>
                  <w:rFonts w:ascii="Times New Roman" w:hAnsi="Times New Roman"/>
                  <w:caps w:val="false"/>
                  <w:smallCaps w:val="false"/>
                  <w:sz w:val="20"/>
                </w:rPr>
                <w:t>43</w:t>
              </w:r>
            </w:hyperlink>
          </w:p>
        </w:tc>
      </w:tr>
      <w:tr>
        <w:tc>
          <w:tcPr>
            <w:tcW w:w="7880" w:type="dxa"/>
            <w:tcBorders/>
            <w:vAlign w:val="center"/>
          </w:tcPr>
          <w:p>
            <w:pPr>
              <w:pStyle w:val="TableContents"/>
              <w:bidi w:val="0"/>
              <w:spacing w:before="0" w:after="0"/>
              <w:ind w:left="0" w:right="0" w:hanging="0"/>
              <w:jc w:val="left"/>
            </w:pPr>
            <w:hyperlink w:anchor="sigs">
              <w:r>
                <w:rPr>
                  <w:rStyle w:val="InternetLink"/>
                  <w:rFonts w:ascii="Times New Roman" w:hAnsi="Times New Roman"/>
                  <w:b/>
                  <w:caps w:val="false"/>
                  <w:smallCaps w:val="false"/>
                  <w:sz w:val="20"/>
                </w:rPr>
                <w:t>SIGNATURES</w:t>
              </w:r>
            </w:hyperlink>
          </w:p>
        </w:tc>
        <w:tc>
          <w:tcPr>
            <w:tcW w:w="440" w:type="dxa"/>
            <w:tcBorders/>
            <w:vAlign w:val="center"/>
          </w:tcPr>
          <w:p>
            <w:pPr>
              <w:pStyle w:val="TableContents"/>
              <w:bidi w:val="0"/>
              <w:spacing w:before="0" w:after="0"/>
              <w:ind w:left="0" w:right="0" w:hanging="0"/>
              <w:jc w:val="right"/>
            </w:pPr>
            <w:hyperlink w:anchor="sigs">
              <w:r>
                <w:rPr>
                  <w:rStyle w:val="InternetLink"/>
                  <w:rFonts w:ascii="Times New Roman" w:hAnsi="Times New Roman"/>
                  <w:caps w:val="false"/>
                  <w:smallCaps w:val="false"/>
                  <w:sz w:val="20"/>
                </w:rPr>
                <w:t>44</w:t>
              </w:r>
            </w:hyperlink>
          </w:p>
        </w:tc>
      </w:tr>
    </w:tbl>
    <w:p>
      <w:pPr>
        <w:pStyle w:val="TextBody"/>
        <w:bidi w:val="0"/>
        <w:spacing w:before="0" w:after="283"/>
        <w:jc w:val="left"/>
      </w:pPr>
      <w: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left"/>
        <w:rPr>
          <w:rFonts w:ascii="Times New Roman" w:hAnsi="Times New Roman"/>
          <w:caps w:val="false"/>
          <w:smallCaps w:val="false"/>
          <w:sz w:val="20"/>
        </w:rPr>
      </w:pPr>
      <w:bookmarkStart w:id="3" w:name="part1"/>
      <w:bookmarkEnd w:id="3"/>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w:t>
      </w:r>
      <w:r>
        <w:rPr>
          <w:rFonts w:ascii="Times New Roman" w:hAnsi="Times New Roman"/>
          <w:caps w:val="false"/>
          <w:smallCaps w:val="false"/>
          <w:sz w:val="20"/>
        </w:rPr>
        <w:t xml:space="preserve"> — </w:t>
      </w:r>
      <w:r>
        <w:rPr>
          <w:rFonts w:ascii="Times New Roman" w:hAnsi="Times New Roman"/>
          <w:b/>
          <w:caps w:val="false"/>
          <w:smallCaps w:val="false"/>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4" w:name="finstmts"/>
      <w:bookmarkEnd w:id="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Financial Statements</w:t>
      </w:r>
    </w:p>
    <w:p>
      <w:pPr>
        <w:pStyle w:val="TextBody"/>
        <w:bidi w:val="0"/>
        <w:spacing w:before="0" w:after="0"/>
        <w:ind w:left="0" w:right="0" w:hanging="0"/>
        <w:jc w:val="center"/>
        <w:rPr>
          <w:rFonts w:ascii="Times New Roman" w:hAnsi="Times New Roman"/>
          <w:caps w:val="false"/>
          <w:smallCaps w:val="false"/>
          <w:sz w:val="20"/>
        </w:rPr>
      </w:pPr>
      <w:bookmarkStart w:id="5" w:name="bs"/>
      <w:bookmarkEnd w:id="5"/>
      <w:r>
        <w:rPr>
          <w:rFonts w:ascii="Times New Roman" w:hAnsi="Times New Roman"/>
          <w:b/>
          <w:caps w:val="false"/>
          <w:smallCaps w:val="false"/>
          <w:sz w:val="20"/>
        </w:rPr>
        <w:t>PDF SOLUTIONS,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par value)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1"/>
        <w:gridCol w:w="60"/>
        <w:gridCol w:w="148"/>
        <w:gridCol w:w="902"/>
        <w:gridCol w:w="80"/>
        <w:gridCol w:w="60"/>
        <w:gridCol w:w="144"/>
        <w:gridCol w:w="877"/>
        <w:gridCol w:w="83"/>
      </w:tblGrid>
      <w:tr>
        <w:tc>
          <w:tcPr>
            <w:tcW w:w="785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5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21"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w:t>
            </w:r>
          </w:p>
        </w:tc>
        <w:tc>
          <w:tcPr>
            <w:tcW w:w="83" w:type="dxa"/>
            <w:tcBorders/>
            <w:shd w:fill="FFFFFF" w:val="clear"/>
            <w:vAlign w:val="center"/>
          </w:tcPr>
          <w:p>
            <w:pPr>
              <w:pStyle w:val="TableContents"/>
              <w:bidi w:val="0"/>
              <w:spacing w:before="0" w:after="283"/>
              <w:jc w:val="left"/>
            </w:pPr>
            <w:r>
              <w:t> </w:t>
            </w:r>
          </w:p>
        </w:tc>
      </w:tr>
      <w:tr>
        <w:tc>
          <w:tcPr>
            <w:tcW w:w="785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785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pPr>
            <w:r>
              <w:t> </w:t>
            </w:r>
          </w:p>
        </w:tc>
        <w:tc>
          <w:tcPr>
            <w:tcW w:w="148" w:type="dxa"/>
            <w:tcBorders/>
            <w:shd w:fill="CCEEFF" w:val="clear"/>
            <w:vAlign w:val="center"/>
          </w:tcPr>
          <w:p>
            <w:pPr>
              <w:pStyle w:val="TableContents"/>
              <w:bidi w:val="0"/>
              <w:spacing w:before="0" w:after="283"/>
              <w:jc w:val="left"/>
            </w:pPr>
            <w:r>
              <w:t> </w:t>
            </w:r>
          </w:p>
        </w:tc>
        <w:tc>
          <w:tcPr>
            <w:tcW w:w="902"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jc w:val="left"/>
            </w:pPr>
            <w:r>
              <w:t> </w:t>
            </w:r>
          </w:p>
        </w:tc>
        <w:tc>
          <w:tcPr>
            <w:tcW w:w="877"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85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FFFFFF" w:val="clear"/>
            <w:vAlign w:val="center"/>
          </w:tcPr>
          <w:p>
            <w:pPr>
              <w:pStyle w:val="TableContents"/>
              <w:bidi w:val="0"/>
              <w:spacing w:before="0" w:after="283"/>
              <w:jc w:val="left"/>
            </w:pPr>
            <w:r>
              <w:t> </w:t>
            </w:r>
          </w:p>
        </w:tc>
        <w:tc>
          <w:tcPr>
            <w:tcW w:w="148" w:type="dxa"/>
            <w:tcBorders/>
            <w:shd w:fill="FFFFFF" w:val="clear"/>
            <w:vAlign w:val="center"/>
          </w:tcPr>
          <w:p>
            <w:pPr>
              <w:pStyle w:val="TableContents"/>
              <w:bidi w:val="0"/>
              <w:spacing w:before="0" w:after="283"/>
              <w:jc w:val="left"/>
            </w:pPr>
            <w:r>
              <w:t> </w:t>
            </w:r>
          </w:p>
        </w:tc>
        <w:tc>
          <w:tcPr>
            <w:tcW w:w="902"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jc w:val="left"/>
            </w:pPr>
            <w:r>
              <w:t> </w:t>
            </w:r>
          </w:p>
        </w:tc>
        <w:tc>
          <w:tcPr>
            <w:tcW w:w="877"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85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pPr>
            <w: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107,131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42,220</w:t>
            </w:r>
          </w:p>
        </w:tc>
        <w:tc>
          <w:tcPr>
            <w:tcW w:w="83" w:type="dxa"/>
            <w:tcBorders/>
            <w:shd w:fill="CCEEFF" w:val="clear"/>
            <w:vAlign w:val="center"/>
          </w:tcPr>
          <w:p>
            <w:pPr>
              <w:pStyle w:val="TableContents"/>
              <w:bidi w:val="0"/>
              <w:spacing w:before="0" w:after="283"/>
              <w:jc w:val="left"/>
            </w:pPr>
            <w:r>
              <w:t> </w:t>
            </w:r>
          </w:p>
        </w:tc>
      </w:tr>
      <w:tr>
        <w:tc>
          <w:tcPr>
            <w:tcW w:w="785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 of allowance for credit losses</w:t>
            </w:r>
          </w:p>
        </w:tc>
        <w:tc>
          <w:tcPr>
            <w:tcW w:w="60" w:type="dxa"/>
            <w:tcBorders/>
            <w:shd w:fill="FFFFFF" w:val="clear"/>
            <w:vAlign w:val="center"/>
          </w:tcPr>
          <w:p>
            <w:pPr>
              <w:pStyle w:val="TableContents"/>
              <w:bidi w:val="0"/>
              <w:spacing w:before="0" w:after="283"/>
              <w:jc w:val="left"/>
            </w:pPr>
            <w:r>
              <w:t> </w:t>
            </w:r>
          </w:p>
        </w:tc>
        <w:tc>
          <w:tcPr>
            <w:tcW w:w="148" w:type="dxa"/>
            <w:tcBorders/>
            <w:shd w:fill="FFFFFF" w:val="clear"/>
            <w:vAlign w:val="center"/>
          </w:tcPr>
          <w:p>
            <w:pPr>
              <w:pStyle w:val="TableContents"/>
              <w:bidi w:val="0"/>
              <w:spacing w:before="0" w:after="283"/>
              <w:ind w:left="0" w:right="0" w:hanging="0"/>
              <w:jc w:val="left"/>
            </w:pPr>
            <w: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96,869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ind w:left="0" w:right="0" w:hanging="0"/>
              <w:jc w:val="left"/>
            </w:pPr>
            <w:r>
              <w:t> </w:t>
            </w:r>
          </w:p>
        </w:tc>
        <w:tc>
          <w:tcPr>
            <w:tcW w:w="8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82,938</w:t>
            </w:r>
          </w:p>
        </w:tc>
        <w:tc>
          <w:tcPr>
            <w:tcW w:w="83" w:type="dxa"/>
            <w:tcBorders/>
            <w:shd w:fill="FFFFFF" w:val="clear"/>
            <w:vAlign w:val="center"/>
          </w:tcPr>
          <w:p>
            <w:pPr>
              <w:pStyle w:val="TableContents"/>
              <w:bidi w:val="0"/>
              <w:spacing w:before="0" w:after="283"/>
              <w:jc w:val="left"/>
            </w:pPr>
            <w:r>
              <w:t> </w:t>
            </w:r>
          </w:p>
        </w:tc>
      </w:tr>
      <w:tr>
        <w:tc>
          <w:tcPr>
            <w:tcW w:w="785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pPr>
            <w: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53,185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38,735</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7851"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p>
        </w:tc>
        <w:tc>
          <w:tcPr>
            <w:tcW w:w="60" w:type="dxa"/>
            <w:tcBorders/>
            <w:shd w:fill="FFFFFF" w:val="clear"/>
            <w:vAlign w:val="center"/>
          </w:tcPr>
          <w:p>
            <w:pPr>
              <w:pStyle w:val="TableContents"/>
              <w:bidi w:val="0"/>
              <w:spacing w:before="0" w:after="283"/>
              <w:jc w:val="left"/>
            </w:pPr>
            <w:r>
              <w:t> </w:t>
            </w:r>
          </w:p>
        </w:tc>
        <w:tc>
          <w:tcPr>
            <w:tcW w:w="148" w:type="dxa"/>
            <w:tcBorders/>
            <w:shd w:fill="FFFFFF" w:val="clear"/>
            <w:vAlign w:val="center"/>
          </w:tcPr>
          <w:p>
            <w:pPr>
              <w:pStyle w:val="TableContents"/>
              <w:bidi w:val="0"/>
              <w:spacing w:before="0" w:after="283"/>
              <w:ind w:left="0" w:right="0" w:hanging="0"/>
              <w:jc w:val="left"/>
            </w:pPr>
            <w: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257,185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ind w:left="0" w:right="0" w:hanging="0"/>
              <w:jc w:val="left"/>
            </w:pPr>
            <w:r>
              <w:t> </w:t>
            </w:r>
          </w:p>
        </w:tc>
        <w:tc>
          <w:tcPr>
            <w:tcW w:w="8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163,893</w:t>
            </w:r>
          </w:p>
        </w:tc>
        <w:tc>
          <w:tcPr>
            <w:tcW w:w="83" w:type="dxa"/>
            <w:tcBorders/>
            <w:shd w:fill="FFFFFF" w:val="clear"/>
            <w:vAlign w:val="center"/>
          </w:tcPr>
          <w:p>
            <w:pPr>
              <w:pStyle w:val="TableContents"/>
              <w:bidi w:val="0"/>
              <w:spacing w:before="0" w:after="283"/>
              <w:jc w:val="left"/>
            </w:pPr>
            <w:r>
              <w:t> </w:t>
            </w:r>
          </w:p>
        </w:tc>
      </w:tr>
      <w:tr>
        <w:tc>
          <w:tcPr>
            <w:tcW w:w="785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pPr>
            <w:r>
              <w:t> </w:t>
            </w:r>
          </w:p>
        </w:tc>
        <w:tc>
          <w:tcPr>
            <w:tcW w:w="148" w:type="dxa"/>
            <w:tcBorders/>
            <w:shd w:fill="CCEEFF" w:val="clear"/>
            <w:vAlign w:val="center"/>
          </w:tcPr>
          <w:p>
            <w:pPr>
              <w:pStyle w:val="TableContents"/>
              <w:bidi w:val="0"/>
              <w:spacing w:before="0" w:after="283"/>
              <w:ind w:left="0" w:right="0" w:hanging="0"/>
              <w:jc w:val="left"/>
            </w:pPr>
            <w: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104,333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ind w:left="0" w:right="0" w:hanging="0"/>
              <w:jc w:val="left"/>
            </w:pPr>
            <w:r>
              <w:t> </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81,609</w:t>
            </w:r>
          </w:p>
        </w:tc>
        <w:tc>
          <w:tcPr>
            <w:tcW w:w="83" w:type="dxa"/>
            <w:tcBorders/>
            <w:shd w:fill="CCEEFF" w:val="clear"/>
            <w:vAlign w:val="center"/>
          </w:tcPr>
          <w:p>
            <w:pPr>
              <w:pStyle w:val="TableContents"/>
              <w:bidi w:val="0"/>
              <w:spacing w:before="0" w:after="283"/>
              <w:jc w:val="left"/>
            </w:pPr>
            <w:r>
              <w:t> </w:t>
            </w:r>
          </w:p>
        </w:tc>
      </w:tr>
      <w:tr>
        <w:tc>
          <w:tcPr>
            <w:tcW w:w="78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net</w:t>
            </w:r>
          </w:p>
        </w:tc>
        <w:tc>
          <w:tcPr>
            <w:tcW w:w="60" w:type="dxa"/>
            <w:tcBorders/>
            <w:shd w:fill="FFFFFF" w:val="clear"/>
            <w:vAlign w:val="center"/>
          </w:tcPr>
          <w:p>
            <w:pPr>
              <w:pStyle w:val="TableContents"/>
              <w:bidi w:val="0"/>
              <w:spacing w:before="0" w:after="283"/>
              <w:jc w:val="left"/>
            </w:pPr>
            <w:r>
              <w:t> </w:t>
            </w:r>
          </w:p>
        </w:tc>
        <w:tc>
          <w:tcPr>
            <w:tcW w:w="148" w:type="dxa"/>
            <w:tcBorders/>
            <w:shd w:fill="FFFFFF" w:val="clear"/>
            <w:vAlign w:val="center"/>
          </w:tcPr>
          <w:p>
            <w:pPr>
              <w:pStyle w:val="TableContents"/>
              <w:bidi w:val="0"/>
              <w:spacing w:before="0" w:after="283"/>
              <w:ind w:left="0" w:right="0" w:hanging="0"/>
              <w:jc w:val="left"/>
            </w:pPr>
            <w: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ind w:left="0" w:right="0" w:hanging="0"/>
              <w:jc w:val="left"/>
            </w:pPr>
            <w:r>
              <w:t> </w:t>
            </w:r>
          </w:p>
        </w:tc>
        <w:tc>
          <w:tcPr>
            <w:tcW w:w="8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4,778</w:t>
            </w:r>
          </w:p>
        </w:tc>
        <w:tc>
          <w:tcPr>
            <w:tcW w:w="83" w:type="dxa"/>
            <w:tcBorders/>
            <w:shd w:fill="FFFFFF" w:val="clear"/>
            <w:vAlign w:val="center"/>
          </w:tcPr>
          <w:p>
            <w:pPr>
              <w:pStyle w:val="TableContents"/>
              <w:bidi w:val="0"/>
              <w:spacing w:before="0" w:after="283"/>
              <w:jc w:val="left"/>
            </w:pPr>
            <w:r>
              <w:t> </w:t>
            </w:r>
          </w:p>
        </w:tc>
      </w:tr>
      <w:tr>
        <w:tc>
          <w:tcPr>
            <w:tcW w:w="78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pPr>
            <w:r>
              <w:t> </w:t>
            </w:r>
          </w:p>
        </w:tc>
        <w:tc>
          <w:tcPr>
            <w:tcW w:w="148" w:type="dxa"/>
            <w:tcBorders/>
            <w:shd w:fill="CCEEFF" w:val="clear"/>
            <w:vAlign w:val="center"/>
          </w:tcPr>
          <w:p>
            <w:pPr>
              <w:pStyle w:val="TableContents"/>
              <w:bidi w:val="0"/>
              <w:spacing w:before="0" w:after="283"/>
              <w:ind w:left="0" w:right="0" w:hanging="0"/>
              <w:jc w:val="left"/>
            </w:pPr>
            <w: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94,990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ind w:left="0" w:right="0" w:hanging="0"/>
              <w:jc w:val="left"/>
            </w:pPr>
            <w:r>
              <w:t> </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95,005</w:t>
            </w:r>
          </w:p>
        </w:tc>
        <w:tc>
          <w:tcPr>
            <w:tcW w:w="83" w:type="dxa"/>
            <w:tcBorders/>
            <w:shd w:fill="CCEEFF" w:val="clear"/>
            <w:vAlign w:val="center"/>
          </w:tcPr>
          <w:p>
            <w:pPr>
              <w:pStyle w:val="TableContents"/>
              <w:bidi w:val="0"/>
              <w:spacing w:before="0" w:after="283"/>
              <w:jc w:val="left"/>
            </w:pPr>
            <w:r>
              <w:t> </w:t>
            </w:r>
          </w:p>
        </w:tc>
      </w:tr>
      <w:tr>
        <w:tc>
          <w:tcPr>
            <w:tcW w:w="78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FFFFFF" w:val="clear"/>
            <w:vAlign w:val="center"/>
          </w:tcPr>
          <w:p>
            <w:pPr>
              <w:pStyle w:val="TableContents"/>
              <w:bidi w:val="0"/>
              <w:spacing w:before="0" w:after="283"/>
              <w:jc w:val="left"/>
            </w:pPr>
            <w:r>
              <w:t> </w:t>
            </w:r>
          </w:p>
        </w:tc>
        <w:tc>
          <w:tcPr>
            <w:tcW w:w="148" w:type="dxa"/>
            <w:tcBorders/>
            <w:shd w:fill="FFFFFF" w:val="clear"/>
            <w:vAlign w:val="center"/>
          </w:tcPr>
          <w:p>
            <w:pPr>
              <w:pStyle w:val="TableContents"/>
              <w:bidi w:val="0"/>
              <w:spacing w:before="0" w:after="283"/>
              <w:ind w:left="0" w:right="0" w:hanging="0"/>
              <w:jc w:val="left"/>
            </w:pPr>
            <w: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46,060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ind w:left="0" w:right="0" w:hanging="0"/>
              <w:jc w:val="left"/>
            </w:pPr>
            <w:r>
              <w:t> </w:t>
            </w:r>
          </w:p>
        </w:tc>
        <w:tc>
          <w:tcPr>
            <w:tcW w:w="8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52,194</w:t>
            </w:r>
          </w:p>
        </w:tc>
        <w:tc>
          <w:tcPr>
            <w:tcW w:w="83" w:type="dxa"/>
            <w:tcBorders/>
            <w:shd w:fill="FFFFFF" w:val="clear"/>
            <w:vAlign w:val="center"/>
          </w:tcPr>
          <w:p>
            <w:pPr>
              <w:pStyle w:val="TableContents"/>
              <w:bidi w:val="0"/>
              <w:spacing w:before="0" w:after="283"/>
              <w:jc w:val="left"/>
            </w:pPr>
            <w:r>
              <w:t> </w:t>
            </w:r>
          </w:p>
        </w:tc>
      </w:tr>
      <w:tr>
        <w:tc>
          <w:tcPr>
            <w:tcW w:w="78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 net</w:t>
            </w:r>
          </w:p>
        </w:tc>
        <w:tc>
          <w:tcPr>
            <w:tcW w:w="60" w:type="dxa"/>
            <w:tcBorders/>
            <w:shd w:fill="CCEEFF" w:val="clear"/>
            <w:vAlign w:val="center"/>
          </w:tcPr>
          <w:p>
            <w:pPr>
              <w:pStyle w:val="TableContents"/>
              <w:bidi w:val="0"/>
              <w:spacing w:before="0" w:after="283"/>
              <w:jc w:val="left"/>
            </w:pPr>
            <w:r>
              <w:t> </w:t>
            </w:r>
          </w:p>
        </w:tc>
        <w:tc>
          <w:tcPr>
            <w:tcW w:w="148" w:type="dxa"/>
            <w:tcBorders/>
            <w:shd w:fill="CCEEFF" w:val="clear"/>
            <w:vAlign w:val="center"/>
          </w:tcPr>
          <w:p>
            <w:pPr>
              <w:pStyle w:val="TableContents"/>
              <w:bidi w:val="0"/>
              <w:spacing w:before="0" w:after="283"/>
              <w:ind w:left="0" w:right="0" w:hanging="0"/>
              <w:jc w:val="left"/>
            </w:pPr>
            <w: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ind w:left="0" w:right="0" w:hanging="0"/>
              <w:jc w:val="left"/>
            </w:pPr>
            <w:r>
              <w:t> </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83" w:type="dxa"/>
            <w:tcBorders/>
            <w:shd w:fill="CCEEFF" w:val="clear"/>
            <w:vAlign w:val="center"/>
          </w:tcPr>
          <w:p>
            <w:pPr>
              <w:pStyle w:val="TableContents"/>
              <w:bidi w:val="0"/>
              <w:spacing w:before="0" w:after="283"/>
              <w:jc w:val="left"/>
            </w:pPr>
            <w:r>
              <w:t> </w:t>
            </w:r>
          </w:p>
        </w:tc>
      </w:tr>
      <w:tr>
        <w:tc>
          <w:tcPr>
            <w:tcW w:w="78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FFFFFF" w:val="clear"/>
            <w:vAlign w:val="center"/>
          </w:tcPr>
          <w:p>
            <w:pPr>
              <w:pStyle w:val="TableContents"/>
              <w:bidi w:val="0"/>
              <w:spacing w:before="0" w:after="283"/>
              <w:jc w:val="left"/>
            </w:pPr>
            <w: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21,149</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785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pPr>
            <w: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540,956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418,697</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785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8" w:type="dxa"/>
            <w:tcBorders/>
            <w:shd w:fill="FFFFFF" w:val="clear"/>
            <w:vAlign w:val="center"/>
          </w:tcPr>
          <w:p>
            <w:pPr>
              <w:pStyle w:val="TableContents"/>
              <w:bidi w:val="0"/>
              <w:spacing w:before="0" w:after="283"/>
              <w:jc w:val="left"/>
            </w:pPr>
            <w:r>
              <w:t> </w:t>
            </w:r>
          </w:p>
        </w:tc>
        <w:tc>
          <w:tcPr>
            <w:tcW w:w="902"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jc w:val="left"/>
            </w:pPr>
            <w:r>
              <w:t> </w:t>
            </w:r>
          </w:p>
        </w:tc>
        <w:tc>
          <w:tcPr>
            <w:tcW w:w="877"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85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pPr>
            <w:r>
              <w:t> </w:t>
            </w:r>
          </w:p>
        </w:tc>
        <w:tc>
          <w:tcPr>
            <w:tcW w:w="148" w:type="dxa"/>
            <w:tcBorders/>
            <w:shd w:fill="CCEEFF" w:val="clear"/>
            <w:vAlign w:val="center"/>
          </w:tcPr>
          <w:p>
            <w:pPr>
              <w:pStyle w:val="TableContents"/>
              <w:bidi w:val="0"/>
              <w:spacing w:before="0" w:after="283"/>
              <w:jc w:val="left"/>
            </w:pPr>
            <w:r>
              <w:t> </w:t>
            </w:r>
          </w:p>
        </w:tc>
        <w:tc>
          <w:tcPr>
            <w:tcW w:w="902"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jc w:val="left"/>
            </w:pPr>
            <w:r>
              <w:t> </w:t>
            </w:r>
          </w:p>
        </w:tc>
        <w:tc>
          <w:tcPr>
            <w:tcW w:w="877"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85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FFFFFF" w:val="clear"/>
            <w:vAlign w:val="center"/>
          </w:tcPr>
          <w:p>
            <w:pPr>
              <w:pStyle w:val="TableContents"/>
              <w:bidi w:val="0"/>
              <w:spacing w:before="0" w:after="283"/>
              <w:jc w:val="left"/>
            </w:pPr>
            <w:r>
              <w:t> </w:t>
            </w:r>
          </w:p>
        </w:tc>
        <w:tc>
          <w:tcPr>
            <w:tcW w:w="148" w:type="dxa"/>
            <w:tcBorders/>
            <w:shd w:fill="FFFFFF" w:val="clear"/>
            <w:vAlign w:val="center"/>
          </w:tcPr>
          <w:p>
            <w:pPr>
              <w:pStyle w:val="TableContents"/>
              <w:bidi w:val="0"/>
              <w:spacing w:before="0" w:after="283"/>
              <w:jc w:val="left"/>
            </w:pPr>
            <w:r>
              <w:t> </w:t>
            </w:r>
          </w:p>
        </w:tc>
        <w:tc>
          <w:tcPr>
            <w:tcW w:w="902"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jc w:val="left"/>
            </w:pPr>
            <w:r>
              <w:t> </w:t>
            </w:r>
          </w:p>
        </w:tc>
        <w:tc>
          <w:tcPr>
            <w:tcW w:w="877"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85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pPr>
            <w: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12,639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17,076</w:t>
            </w:r>
          </w:p>
        </w:tc>
        <w:tc>
          <w:tcPr>
            <w:tcW w:w="83" w:type="dxa"/>
            <w:tcBorders/>
            <w:shd w:fill="CCEEFF" w:val="clear"/>
            <w:vAlign w:val="center"/>
          </w:tcPr>
          <w:p>
            <w:pPr>
              <w:pStyle w:val="TableContents"/>
              <w:bidi w:val="0"/>
              <w:spacing w:before="0" w:after="283"/>
              <w:jc w:val="left"/>
            </w:pPr>
            <w:r>
              <w:t> </w:t>
            </w:r>
          </w:p>
        </w:tc>
      </w:tr>
      <w:tr>
        <w:tc>
          <w:tcPr>
            <w:tcW w:w="785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related benefits</w:t>
            </w:r>
          </w:p>
        </w:tc>
        <w:tc>
          <w:tcPr>
            <w:tcW w:w="60" w:type="dxa"/>
            <w:tcBorders/>
            <w:shd w:fill="FFFFFF" w:val="clear"/>
            <w:vAlign w:val="center"/>
          </w:tcPr>
          <w:p>
            <w:pPr>
              <w:pStyle w:val="TableContents"/>
              <w:bidi w:val="0"/>
              <w:spacing w:before="0" w:after="283"/>
              <w:jc w:val="left"/>
            </w:pPr>
            <w:r>
              <w:t> </w:t>
            </w:r>
          </w:p>
        </w:tc>
        <w:tc>
          <w:tcPr>
            <w:tcW w:w="148" w:type="dxa"/>
            <w:tcBorders/>
            <w:shd w:fill="FFFFFF" w:val="clear"/>
            <w:vAlign w:val="center"/>
          </w:tcPr>
          <w:p>
            <w:pPr>
              <w:pStyle w:val="TableContents"/>
              <w:bidi w:val="0"/>
              <w:spacing w:before="0" w:after="283"/>
              <w:ind w:left="0" w:right="0" w:hanging="0"/>
              <w:jc w:val="left"/>
            </w:pPr>
            <w: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20,154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ind w:left="0" w:right="0" w:hanging="0"/>
              <w:jc w:val="left"/>
            </w:pPr>
            <w:r>
              <w:t> </w:t>
            </w:r>
          </w:p>
        </w:tc>
        <w:tc>
          <w:tcPr>
            <w:tcW w:w="8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22,437</w:t>
            </w:r>
          </w:p>
        </w:tc>
        <w:tc>
          <w:tcPr>
            <w:tcW w:w="83" w:type="dxa"/>
            <w:tcBorders/>
            <w:shd w:fill="FFFFFF" w:val="clear"/>
            <w:vAlign w:val="center"/>
          </w:tcPr>
          <w:p>
            <w:pPr>
              <w:pStyle w:val="TableContents"/>
              <w:bidi w:val="0"/>
              <w:spacing w:before="0" w:after="283"/>
              <w:jc w:val="left"/>
            </w:pPr>
            <w:r>
              <w:t> </w:t>
            </w:r>
          </w:p>
        </w:tc>
      </w:tr>
      <w:tr>
        <w:tc>
          <w:tcPr>
            <w:tcW w:w="785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current liabilities</w:t>
            </w:r>
          </w:p>
        </w:tc>
        <w:tc>
          <w:tcPr>
            <w:tcW w:w="60" w:type="dxa"/>
            <w:tcBorders/>
            <w:shd w:fill="CCEEFF" w:val="clear"/>
            <w:vAlign w:val="center"/>
          </w:tcPr>
          <w:p>
            <w:pPr>
              <w:pStyle w:val="TableContents"/>
              <w:bidi w:val="0"/>
              <w:spacing w:before="0" w:after="283"/>
              <w:jc w:val="left"/>
            </w:pPr>
            <w:r>
              <w:t> </w:t>
            </w:r>
          </w:p>
        </w:tc>
        <w:tc>
          <w:tcPr>
            <w:tcW w:w="148" w:type="dxa"/>
            <w:tcBorders/>
            <w:shd w:fill="CCEEFF" w:val="clear"/>
            <w:vAlign w:val="center"/>
          </w:tcPr>
          <w:p>
            <w:pPr>
              <w:pStyle w:val="TableContents"/>
              <w:bidi w:val="0"/>
              <w:spacing w:before="0" w:after="283"/>
              <w:ind w:left="0" w:right="0" w:hanging="0"/>
              <w:jc w:val="left"/>
            </w:pPr>
            <w: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ind w:left="0" w:right="0" w:hanging="0"/>
              <w:jc w:val="left"/>
            </w:pPr>
            <w:r>
              <w:t> </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8,719</w:t>
            </w:r>
          </w:p>
        </w:tc>
        <w:tc>
          <w:tcPr>
            <w:tcW w:w="83" w:type="dxa"/>
            <w:tcBorders/>
            <w:shd w:fill="CCEEFF" w:val="clear"/>
            <w:vAlign w:val="center"/>
          </w:tcPr>
          <w:p>
            <w:pPr>
              <w:pStyle w:val="TableContents"/>
              <w:bidi w:val="0"/>
              <w:spacing w:before="0" w:after="283"/>
              <w:jc w:val="left"/>
            </w:pPr>
            <w:r>
              <w:t> </w:t>
            </w:r>
          </w:p>
        </w:tc>
      </w:tr>
      <w:tr>
        <w:tc>
          <w:tcPr>
            <w:tcW w:w="785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 current portion</w:t>
            </w:r>
          </w:p>
        </w:tc>
        <w:tc>
          <w:tcPr>
            <w:tcW w:w="60" w:type="dxa"/>
            <w:tcBorders/>
            <w:shd w:fill="FFFFFF" w:val="clear"/>
            <w:vAlign w:val="center"/>
          </w:tcPr>
          <w:p>
            <w:pPr>
              <w:pStyle w:val="TableContents"/>
              <w:bidi w:val="0"/>
              <w:spacing w:before="0" w:after="283"/>
              <w:jc w:val="left"/>
            </w:pPr>
            <w:r>
              <w:t> </w:t>
            </w:r>
          </w:p>
        </w:tc>
        <w:tc>
          <w:tcPr>
            <w:tcW w:w="148" w:type="dxa"/>
            <w:tcBorders/>
            <w:shd w:fill="FFFFFF" w:val="clear"/>
            <w:vAlign w:val="center"/>
          </w:tcPr>
          <w:p>
            <w:pPr>
              <w:pStyle w:val="TableContents"/>
              <w:bidi w:val="0"/>
              <w:spacing w:before="0" w:after="283"/>
              <w:ind w:left="0" w:right="0" w:hanging="0"/>
              <w:jc w:val="left"/>
            </w:pPr>
            <w: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ind w:left="0" w:right="0" w:hanging="0"/>
              <w:jc w:val="left"/>
            </w:pPr>
            <w:r>
              <w:t> </w:t>
            </w:r>
          </w:p>
        </w:tc>
        <w:tc>
          <w:tcPr>
            <w:tcW w:w="8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1,982</w:t>
            </w:r>
          </w:p>
        </w:tc>
        <w:tc>
          <w:tcPr>
            <w:tcW w:w="83" w:type="dxa"/>
            <w:tcBorders/>
            <w:shd w:fill="FFFFFF" w:val="clear"/>
            <w:vAlign w:val="center"/>
          </w:tcPr>
          <w:p>
            <w:pPr>
              <w:pStyle w:val="TableContents"/>
              <w:bidi w:val="0"/>
              <w:spacing w:before="0" w:after="283"/>
              <w:jc w:val="left"/>
            </w:pPr>
            <w:r>
              <w:t> </w:t>
            </w:r>
          </w:p>
        </w:tc>
      </w:tr>
      <w:tr>
        <w:tc>
          <w:tcPr>
            <w:tcW w:w="785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revenues – current portion</w:t>
            </w:r>
          </w:p>
        </w:tc>
        <w:tc>
          <w:tcPr>
            <w:tcW w:w="60" w:type="dxa"/>
            <w:tcBorders/>
            <w:shd w:fill="CCEEFF" w:val="clear"/>
            <w:vAlign w:val="center"/>
          </w:tcPr>
          <w:p>
            <w:pPr>
              <w:pStyle w:val="TableContents"/>
              <w:bidi w:val="0"/>
              <w:spacing w:before="0" w:after="283"/>
              <w:jc w:val="left"/>
            </w:pPr>
            <w:r>
              <w:t> </w:t>
            </w:r>
          </w:p>
        </w:tc>
        <w:tc>
          <w:tcPr>
            <w:tcW w:w="148" w:type="dxa"/>
            <w:tcBorders/>
            <w:shd w:fill="CCEEFF" w:val="clear"/>
            <w:vAlign w:val="center"/>
          </w:tcPr>
          <w:p>
            <w:pPr>
              <w:pStyle w:val="TableContents"/>
              <w:bidi w:val="0"/>
              <w:spacing w:before="0" w:after="283"/>
              <w:ind w:left="0" w:right="0" w:hanging="0"/>
              <w:jc w:val="left"/>
            </w:pPr>
            <w: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32,776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ind w:left="0" w:right="0" w:hanging="0"/>
              <w:jc w:val="left"/>
            </w:pPr>
            <w:r>
              <w:t> </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19,441</w:t>
            </w:r>
          </w:p>
        </w:tc>
        <w:tc>
          <w:tcPr>
            <w:tcW w:w="83" w:type="dxa"/>
            <w:tcBorders/>
            <w:shd w:fill="CCEEFF" w:val="clear"/>
            <w:vAlign w:val="center"/>
          </w:tcPr>
          <w:p>
            <w:pPr>
              <w:pStyle w:val="TableContents"/>
              <w:bidi w:val="0"/>
              <w:spacing w:before="0" w:after="283"/>
              <w:jc w:val="left"/>
            </w:pPr>
            <w:r>
              <w:t> </w:t>
            </w:r>
          </w:p>
        </w:tc>
      </w:tr>
      <w:tr>
        <w:tc>
          <w:tcPr>
            <w:tcW w:w="785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 net</w:t>
            </w:r>
          </w:p>
        </w:tc>
        <w:tc>
          <w:tcPr>
            <w:tcW w:w="60" w:type="dxa"/>
            <w:tcBorders/>
            <w:shd w:fill="FFFFFF" w:val="clear"/>
            <w:vAlign w:val="center"/>
          </w:tcPr>
          <w:p>
            <w:pPr>
              <w:pStyle w:val="TableContents"/>
              <w:bidi w:val="0"/>
              <w:spacing w:before="0" w:after="283"/>
              <w:jc w:val="left"/>
            </w:pPr>
            <w: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2,236</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7851"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liabilities</w:t>
            </w:r>
          </w:p>
        </w:tc>
        <w:tc>
          <w:tcPr>
            <w:tcW w:w="60" w:type="dxa"/>
            <w:tcBorders/>
            <w:shd w:fill="CCEEFF" w:val="clear"/>
            <w:vAlign w:val="center"/>
          </w:tcPr>
          <w:p>
            <w:pPr>
              <w:pStyle w:val="TableContents"/>
              <w:bidi w:val="0"/>
              <w:spacing w:before="0" w:after="283"/>
              <w:jc w:val="left"/>
            </w:pPr>
            <w:r>
              <w:t> </w:t>
            </w:r>
          </w:p>
        </w:tc>
        <w:tc>
          <w:tcPr>
            <w:tcW w:w="148" w:type="dxa"/>
            <w:tcBorders/>
            <w:shd w:fill="CCEEFF" w:val="clear"/>
            <w:vAlign w:val="center"/>
          </w:tcPr>
          <w:p>
            <w:pPr>
              <w:pStyle w:val="TableContents"/>
              <w:bidi w:val="0"/>
              <w:spacing w:before="0" w:after="283"/>
              <w:ind w:left="0" w:right="0" w:hanging="0"/>
              <w:jc w:val="left"/>
            </w:pPr>
            <w: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78,106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ind w:left="0" w:right="0" w:hanging="0"/>
              <w:jc w:val="left"/>
            </w:pPr>
            <w:r>
              <w:t> </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71,891</w:t>
            </w:r>
          </w:p>
        </w:tc>
        <w:tc>
          <w:tcPr>
            <w:tcW w:w="83" w:type="dxa"/>
            <w:tcBorders/>
            <w:shd w:fill="CCEEFF" w:val="clear"/>
            <w:vAlign w:val="center"/>
          </w:tcPr>
          <w:p>
            <w:pPr>
              <w:pStyle w:val="TableContents"/>
              <w:bidi w:val="0"/>
              <w:spacing w:before="0" w:after="283"/>
              <w:jc w:val="left"/>
            </w:pPr>
            <w:r>
              <w:t> </w:t>
            </w:r>
          </w:p>
        </w:tc>
      </w:tr>
      <w:tr>
        <w:tc>
          <w:tcPr>
            <w:tcW w:w="78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income taxes</w:t>
            </w:r>
          </w:p>
        </w:tc>
        <w:tc>
          <w:tcPr>
            <w:tcW w:w="60" w:type="dxa"/>
            <w:tcBorders/>
            <w:shd w:fill="FFFFFF" w:val="clear"/>
            <w:vAlign w:val="center"/>
          </w:tcPr>
          <w:p>
            <w:pPr>
              <w:pStyle w:val="TableContents"/>
              <w:bidi w:val="0"/>
              <w:spacing w:before="0" w:after="283"/>
              <w:jc w:val="left"/>
            </w:pPr>
            <w:r>
              <w:t> </w:t>
            </w:r>
          </w:p>
        </w:tc>
        <w:tc>
          <w:tcPr>
            <w:tcW w:w="148" w:type="dxa"/>
            <w:tcBorders/>
            <w:shd w:fill="FFFFFF" w:val="clear"/>
            <w:vAlign w:val="center"/>
          </w:tcPr>
          <w:p>
            <w:pPr>
              <w:pStyle w:val="TableContents"/>
              <w:bidi w:val="0"/>
              <w:spacing w:before="0" w:after="283"/>
              <w:ind w:left="0" w:right="0" w:hanging="0"/>
              <w:jc w:val="left"/>
            </w:pPr>
            <w: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ind w:left="0" w:right="0" w:hanging="0"/>
              <w:jc w:val="left"/>
            </w:pPr>
            <w:r>
              <w:t> </w:t>
            </w:r>
          </w:p>
        </w:tc>
        <w:tc>
          <w:tcPr>
            <w:tcW w:w="8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4,273</w:t>
            </w:r>
          </w:p>
        </w:tc>
        <w:tc>
          <w:tcPr>
            <w:tcW w:w="83" w:type="dxa"/>
            <w:tcBorders/>
            <w:shd w:fill="FFFFFF" w:val="clear"/>
            <w:vAlign w:val="center"/>
          </w:tcPr>
          <w:p>
            <w:pPr>
              <w:pStyle w:val="TableContents"/>
              <w:bidi w:val="0"/>
              <w:spacing w:before="0" w:after="283"/>
              <w:jc w:val="left"/>
            </w:pPr>
            <w:r>
              <w:t> </w:t>
            </w:r>
          </w:p>
        </w:tc>
      </w:tr>
      <w:tr>
        <w:tc>
          <w:tcPr>
            <w:tcW w:w="78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 non-current portion</w:t>
            </w:r>
          </w:p>
        </w:tc>
        <w:tc>
          <w:tcPr>
            <w:tcW w:w="60" w:type="dxa"/>
            <w:tcBorders/>
            <w:shd w:fill="CCEEFF" w:val="clear"/>
            <w:vAlign w:val="center"/>
          </w:tcPr>
          <w:p>
            <w:pPr>
              <w:pStyle w:val="TableContents"/>
              <w:bidi w:val="0"/>
              <w:spacing w:before="0" w:after="283"/>
              <w:jc w:val="left"/>
            </w:pPr>
            <w:r>
              <w:t> </w:t>
            </w:r>
          </w:p>
        </w:tc>
        <w:tc>
          <w:tcPr>
            <w:tcW w:w="148" w:type="dxa"/>
            <w:tcBorders/>
            <w:shd w:fill="CCEEFF" w:val="clear"/>
            <w:vAlign w:val="center"/>
          </w:tcPr>
          <w:p>
            <w:pPr>
              <w:pStyle w:val="TableContents"/>
              <w:bidi w:val="0"/>
              <w:spacing w:before="0" w:after="283"/>
              <w:ind w:left="0" w:right="0" w:hanging="0"/>
              <w:jc w:val="left"/>
            </w:pPr>
            <w: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ind w:left="0" w:right="0" w:hanging="0"/>
              <w:jc w:val="left"/>
            </w:pPr>
            <w:r>
              <w:t> </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3,838</w:t>
            </w:r>
          </w:p>
        </w:tc>
        <w:tc>
          <w:tcPr>
            <w:tcW w:w="83" w:type="dxa"/>
            <w:tcBorders/>
            <w:shd w:fill="CCEEFF" w:val="clear"/>
            <w:vAlign w:val="center"/>
          </w:tcPr>
          <w:p>
            <w:pPr>
              <w:pStyle w:val="TableContents"/>
              <w:bidi w:val="0"/>
              <w:spacing w:before="0" w:after="283"/>
              <w:jc w:val="left"/>
            </w:pPr>
            <w:r>
              <w:t> </w:t>
            </w:r>
          </w:p>
        </w:tc>
      </w:tr>
      <w:tr>
        <w:tc>
          <w:tcPr>
            <w:tcW w:w="78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p>
        </w:tc>
        <w:tc>
          <w:tcPr>
            <w:tcW w:w="60" w:type="dxa"/>
            <w:tcBorders/>
            <w:shd w:fill="FFFFFF" w:val="clear"/>
            <w:vAlign w:val="center"/>
          </w:tcPr>
          <w:p>
            <w:pPr>
              <w:pStyle w:val="TableContents"/>
              <w:bidi w:val="0"/>
              <w:spacing w:before="0" w:after="283"/>
              <w:jc w:val="left"/>
            </w:pPr>
            <w:r>
              <w:t> </w:t>
            </w:r>
          </w:p>
        </w:tc>
        <w:tc>
          <w:tcPr>
            <w:tcW w:w="148" w:type="dxa"/>
            <w:tcBorders/>
            <w:shd w:fill="FFFFFF" w:val="clear"/>
            <w:vAlign w:val="center"/>
          </w:tcPr>
          <w:p>
            <w:pPr>
              <w:pStyle w:val="TableContents"/>
              <w:bidi w:val="0"/>
              <w:spacing w:before="0" w:after="283"/>
              <w:ind w:left="0" w:right="0" w:hanging="0"/>
              <w:jc w:val="left"/>
            </w:pPr>
            <w: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63,096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ind w:left="0" w:right="0" w:hanging="0"/>
              <w:jc w:val="left"/>
            </w:pPr>
            <w:r>
              <w:t> </w:t>
            </w:r>
          </w:p>
        </w:tc>
        <w:tc>
          <w:tcPr>
            <w:tcW w:w="8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64,763</w:t>
            </w:r>
          </w:p>
        </w:tc>
        <w:tc>
          <w:tcPr>
            <w:tcW w:w="83" w:type="dxa"/>
            <w:tcBorders/>
            <w:shd w:fill="FFFFFF" w:val="clear"/>
            <w:vAlign w:val="center"/>
          </w:tcPr>
          <w:p>
            <w:pPr>
              <w:pStyle w:val="TableContents"/>
              <w:bidi w:val="0"/>
              <w:spacing w:before="0" w:after="283"/>
              <w:jc w:val="left"/>
            </w:pPr>
            <w:r>
              <w:t> </w:t>
            </w:r>
          </w:p>
        </w:tc>
      </w:tr>
      <w:tr>
        <w:tc>
          <w:tcPr>
            <w:tcW w:w="78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p>
        </w:tc>
        <w:tc>
          <w:tcPr>
            <w:tcW w:w="60" w:type="dxa"/>
            <w:tcBorders/>
            <w:shd w:fill="CCEEFF" w:val="clear"/>
            <w:vAlign w:val="center"/>
          </w:tcPr>
          <w:p>
            <w:pPr>
              <w:pStyle w:val="TableContents"/>
              <w:bidi w:val="0"/>
              <w:spacing w:before="0" w:after="283"/>
              <w:jc w:val="left"/>
            </w:pPr>
            <w: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2,910</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7851"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FFFFFF" w:val="clear"/>
            <w:vAlign w:val="center"/>
          </w:tcPr>
          <w:p>
            <w:pPr>
              <w:pStyle w:val="TableContents"/>
              <w:bidi w:val="0"/>
              <w:spacing w:before="0" w:after="283"/>
              <w:jc w:val="left"/>
            </w:pPr>
            <w: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157,948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147,675</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78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12)</w:t>
            </w:r>
          </w:p>
        </w:tc>
        <w:tc>
          <w:tcPr>
            <w:tcW w:w="60" w:type="dxa"/>
            <w:tcBorders/>
            <w:shd w:fill="CCEEFF" w:val="clear"/>
            <w:vAlign w:val="center"/>
          </w:tcPr>
          <w:p>
            <w:pPr>
              <w:pStyle w:val="TableContents"/>
              <w:bidi w:val="0"/>
              <w:spacing w:before="0" w:after="283"/>
              <w:jc w:val="left"/>
            </w:pPr>
            <w:r>
              <w:t> </w:t>
            </w:r>
          </w:p>
        </w:tc>
        <w:tc>
          <w:tcPr>
            <w:tcW w:w="148" w:type="dxa"/>
            <w:tcBorders/>
            <w:shd w:fill="CCEEFF" w:val="clear"/>
            <w:vAlign w:val="center"/>
          </w:tcPr>
          <w:p>
            <w:pPr>
              <w:pStyle w:val="TableContents"/>
              <w:bidi w:val="0"/>
              <w:spacing w:before="0" w:after="283"/>
              <w:jc w:val="left"/>
            </w:pPr>
            <w:r>
              <w:t> </w:t>
            </w:r>
          </w:p>
        </w:tc>
        <w:tc>
          <w:tcPr>
            <w:tcW w:w="902"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jc w:val="left"/>
            </w:pPr>
            <w:r>
              <w:t> </w:t>
            </w:r>
          </w:p>
        </w:tc>
        <w:tc>
          <w:tcPr>
            <w:tcW w:w="877"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85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w:t>
            </w:r>
          </w:p>
        </w:tc>
        <w:tc>
          <w:tcPr>
            <w:tcW w:w="60" w:type="dxa"/>
            <w:tcBorders/>
            <w:shd w:fill="FFFFFF" w:val="clear"/>
            <w:vAlign w:val="center"/>
          </w:tcPr>
          <w:p>
            <w:pPr>
              <w:pStyle w:val="TableContents"/>
              <w:bidi w:val="0"/>
              <w:spacing w:before="0" w:after="283"/>
              <w:jc w:val="left"/>
            </w:pPr>
            <w:r>
              <w:t> </w:t>
            </w:r>
          </w:p>
        </w:tc>
        <w:tc>
          <w:tcPr>
            <w:tcW w:w="148" w:type="dxa"/>
            <w:tcBorders/>
            <w:shd w:fill="FFFFFF" w:val="clear"/>
            <w:vAlign w:val="center"/>
          </w:tcPr>
          <w:p>
            <w:pPr>
              <w:pStyle w:val="TableContents"/>
              <w:bidi w:val="0"/>
              <w:spacing w:before="0" w:after="283"/>
              <w:jc w:val="left"/>
            </w:pPr>
            <w:r>
              <w:t> </w:t>
            </w:r>
          </w:p>
        </w:tc>
        <w:tc>
          <w:tcPr>
            <w:tcW w:w="902"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jc w:val="left"/>
            </w:pPr>
            <w:r>
              <w:t> </w:t>
            </w:r>
          </w:p>
        </w:tc>
        <w:tc>
          <w:tcPr>
            <w:tcW w:w="877"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85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$0.00015 par value, 5,000 shares authorized, no shares issued and outstanding</w:t>
            </w:r>
          </w:p>
        </w:tc>
        <w:tc>
          <w:tcPr>
            <w:tcW w:w="60" w:type="dxa"/>
            <w:tcBorders/>
            <w:shd w:fill="CCEEFF" w:val="clear"/>
            <w:vAlign w:val="center"/>
          </w:tcPr>
          <w:p>
            <w:pPr>
              <w:pStyle w:val="TableContents"/>
              <w:bidi w:val="0"/>
              <w:spacing w:before="0" w:after="283"/>
              <w:jc w:val="left"/>
            </w:pPr>
            <w:r>
              <w:t> </w:t>
            </w:r>
          </w:p>
        </w:tc>
        <w:tc>
          <w:tcPr>
            <w:tcW w:w="148" w:type="dxa"/>
            <w:tcBorders/>
            <w:shd w:fill="CCEEFF" w:val="clear"/>
            <w:vAlign w:val="center"/>
          </w:tcPr>
          <w:p>
            <w:pPr>
              <w:pStyle w:val="TableContents"/>
              <w:bidi w:val="0"/>
              <w:spacing w:before="0" w:after="283"/>
              <w:ind w:left="0" w:right="0" w:hanging="0"/>
              <w:jc w:val="left"/>
            </w:pPr>
            <w:r>
              <w:t> </w:t>
            </w:r>
          </w:p>
        </w:tc>
        <w:tc>
          <w:tcPr>
            <w:tcW w:w="902"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ind w:left="0" w:right="0" w:hanging="0"/>
              <w:jc w:val="left"/>
            </w:pPr>
            <w:r>
              <w:t> </w:t>
            </w:r>
          </w:p>
        </w:tc>
        <w:tc>
          <w:tcPr>
            <w:tcW w:w="877" w:type="dxa"/>
            <w:tcBorders/>
            <w:shd w:fill="CCEEFF" w:val="clear"/>
            <w:vAlign w:val="center"/>
          </w:tcPr>
          <w:p>
            <w:pPr>
              <w:pStyle w:val="TableContents"/>
              <w:bidi w:val="0"/>
              <w:spacing w:before="0" w:after="283"/>
              <w:ind w:left="0" w:right="0" w:hanging="0"/>
              <w:jc w:val="right"/>
            </w:pPr>
            <w:r>
              <w:t>—</w:t>
            </w:r>
          </w:p>
        </w:tc>
        <w:tc>
          <w:tcPr>
            <w:tcW w:w="83" w:type="dxa"/>
            <w:tcBorders/>
            <w:shd w:fill="CCEEFF" w:val="clear"/>
            <w:vAlign w:val="center"/>
          </w:tcPr>
          <w:p>
            <w:pPr>
              <w:pStyle w:val="TableContents"/>
              <w:bidi w:val="0"/>
              <w:spacing w:before="0" w:after="283"/>
              <w:jc w:val="left"/>
            </w:pPr>
            <w:r>
              <w:t> </w:t>
            </w:r>
          </w:p>
        </w:tc>
      </w:tr>
      <w:tr>
        <w:tc>
          <w:tcPr>
            <w:tcW w:w="785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$0.00015 par value, 70,000 shares authorized; shares issued 54,675 and 51,726, respectively; shares outstanding 42,239 and 39,541, respectively</w:t>
            </w:r>
          </w:p>
        </w:tc>
        <w:tc>
          <w:tcPr>
            <w:tcW w:w="60" w:type="dxa"/>
            <w:tcBorders/>
            <w:shd w:fill="FFFFFF" w:val="clear"/>
            <w:vAlign w:val="center"/>
          </w:tcPr>
          <w:p>
            <w:pPr>
              <w:pStyle w:val="TableContents"/>
              <w:bidi w:val="0"/>
              <w:spacing w:before="0" w:after="283"/>
              <w:jc w:val="left"/>
            </w:pPr>
            <w:r>
              <w:t> </w:t>
            </w:r>
          </w:p>
        </w:tc>
        <w:tc>
          <w:tcPr>
            <w:tcW w:w="148" w:type="dxa"/>
            <w:tcBorders/>
            <w:shd w:fill="FFFFFF" w:val="clear"/>
            <w:vAlign w:val="center"/>
          </w:tcPr>
          <w:p>
            <w:pPr>
              <w:pStyle w:val="TableContents"/>
              <w:bidi w:val="0"/>
              <w:spacing w:before="0" w:after="283"/>
              <w:ind w:left="0" w:right="0" w:hanging="0"/>
              <w:jc w:val="left"/>
            </w:pPr>
            <w: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ind w:left="0" w:right="0" w:hanging="0"/>
              <w:jc w:val="left"/>
            </w:pPr>
            <w:r>
              <w:t> </w:t>
            </w:r>
          </w:p>
        </w:tc>
        <w:tc>
          <w:tcPr>
            <w:tcW w:w="8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3" w:type="dxa"/>
            <w:tcBorders/>
            <w:shd w:fill="FFFFFF" w:val="clear"/>
            <w:vAlign w:val="center"/>
          </w:tcPr>
          <w:p>
            <w:pPr>
              <w:pStyle w:val="TableContents"/>
              <w:bidi w:val="0"/>
              <w:spacing w:before="0" w:after="283"/>
              <w:jc w:val="left"/>
            </w:pPr>
            <w:r>
              <w:t> </w:t>
            </w:r>
          </w:p>
        </w:tc>
      </w:tr>
      <w:tr>
        <w:tc>
          <w:tcPr>
            <w:tcW w:w="785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pPr>
            <w:r>
              <w:t> </w:t>
            </w:r>
          </w:p>
        </w:tc>
        <w:tc>
          <w:tcPr>
            <w:tcW w:w="148" w:type="dxa"/>
            <w:tcBorders/>
            <w:shd w:fill="CCEEFF" w:val="clear"/>
            <w:vAlign w:val="center"/>
          </w:tcPr>
          <w:p>
            <w:pPr>
              <w:pStyle w:val="TableContents"/>
              <w:bidi w:val="0"/>
              <w:spacing w:before="0" w:after="283"/>
              <w:ind w:left="0" w:right="0" w:hanging="0"/>
              <w:jc w:val="left"/>
            </w:pPr>
            <w: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641,281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ind w:left="0" w:right="0" w:hanging="0"/>
              <w:jc w:val="left"/>
            </w:pPr>
            <w:r>
              <w:t> </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533,503</w:t>
            </w:r>
          </w:p>
        </w:tc>
        <w:tc>
          <w:tcPr>
            <w:tcW w:w="83" w:type="dxa"/>
            <w:tcBorders/>
            <w:shd w:fill="CCEEFF" w:val="clear"/>
            <w:vAlign w:val="center"/>
          </w:tcPr>
          <w:p>
            <w:pPr>
              <w:pStyle w:val="TableContents"/>
              <w:bidi w:val="0"/>
              <w:spacing w:before="0" w:after="283"/>
              <w:jc w:val="left"/>
            </w:pPr>
            <w:r>
              <w:t> </w:t>
            </w:r>
          </w:p>
        </w:tc>
      </w:tr>
      <w:tr>
        <w:tc>
          <w:tcPr>
            <w:tcW w:w="785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12,436 and 12,185 shares, respectively</w:t>
            </w:r>
          </w:p>
        </w:tc>
        <w:tc>
          <w:tcPr>
            <w:tcW w:w="60" w:type="dxa"/>
            <w:tcBorders/>
            <w:shd w:fill="FFFFFF" w:val="clear"/>
            <w:vAlign w:val="center"/>
          </w:tcPr>
          <w:p>
            <w:pPr>
              <w:pStyle w:val="TableContents"/>
              <w:bidi w:val="0"/>
              <w:spacing w:before="0" w:after="283"/>
              <w:jc w:val="left"/>
            </w:pPr>
            <w:r>
              <w:t> </w:t>
            </w:r>
          </w:p>
        </w:tc>
        <w:tc>
          <w:tcPr>
            <w:tcW w:w="148" w:type="dxa"/>
            <w:tcBorders/>
            <w:shd w:fill="FFFFFF" w:val="clear"/>
            <w:vAlign w:val="center"/>
          </w:tcPr>
          <w:p>
            <w:pPr>
              <w:pStyle w:val="TableContents"/>
              <w:bidi w:val="0"/>
              <w:spacing w:before="0" w:after="283"/>
              <w:ind w:left="0" w:right="0" w:hanging="0"/>
              <w:jc w:val="left"/>
            </w:pPr>
            <w:r>
              <w:t> </w:t>
            </w:r>
          </w:p>
        </w:tc>
        <w:tc>
          <w:tcPr>
            <w:tcW w:w="9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ind w:left="0" w:right="0" w:hanging="0"/>
              <w:jc w:val="left"/>
            </w:pPr>
            <w:r>
              <w:t> </w:t>
            </w:r>
          </w:p>
        </w:tc>
        <w:tc>
          <w:tcPr>
            <w:tcW w:w="8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(165,808</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85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pPr>
            <w:r>
              <w:t> </w:t>
            </w:r>
          </w:p>
        </w:tc>
        <w:tc>
          <w:tcPr>
            <w:tcW w:w="148" w:type="dxa"/>
            <w:tcBorders/>
            <w:shd w:fill="CCEEFF" w:val="clear"/>
            <w:vAlign w:val="center"/>
          </w:tcPr>
          <w:p>
            <w:pPr>
              <w:pStyle w:val="TableContents"/>
              <w:bidi w:val="0"/>
              <w:spacing w:before="0" w:after="283"/>
              <w:ind w:left="0" w:right="0" w:hanging="0"/>
              <w:jc w:val="left"/>
            </w:pPr>
            <w:r>
              <w:t> </w:t>
            </w:r>
          </w:p>
        </w:tc>
        <w:tc>
          <w:tcPr>
            <w:tcW w:w="9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ind w:left="0" w:right="0" w:hanging="0"/>
              <w:jc w:val="left"/>
            </w:pPr>
            <w:r>
              <w:t> </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(94,628</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85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pPr>
            <w: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(2,051</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851"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stockholders’ equity</w:t>
            </w:r>
          </w:p>
        </w:tc>
        <w:tc>
          <w:tcPr>
            <w:tcW w:w="60" w:type="dxa"/>
            <w:tcBorders/>
            <w:shd w:fill="CCEEFF" w:val="clear"/>
            <w:vAlign w:val="center"/>
          </w:tcPr>
          <w:p>
            <w:pPr>
              <w:pStyle w:val="TableContents"/>
              <w:bidi w:val="0"/>
              <w:spacing w:before="0" w:after="283"/>
              <w:jc w:val="left"/>
            </w:pPr>
            <w: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383,008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271,022</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785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pPr>
            <w: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540,956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418,697</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360"/>
        <w:jc w:val="center"/>
        <w:rPr>
          <w:rFonts w:ascii="Times New Roman" w:hAnsi="Times New Roman"/>
          <w:caps w:val="false"/>
          <w:smallCaps w:val="false"/>
          <w:sz w:val="20"/>
        </w:rPr>
      </w:pPr>
      <w:r>
        <w:rPr>
          <w:rFonts w:ascii="Times New Roman" w:hAnsi="Times New Roman"/>
          <w:b/>
          <w:i/>
          <w:caps w:val="false"/>
          <w:smallCaps w:val="false"/>
          <w:sz w:val="20"/>
        </w:rPr>
        <w:t>See accompanying Notes</w:t>
      </w:r>
      <w:r>
        <w:rPr>
          <w:rFonts w:ascii="Times New Roman" w:hAnsi="Times New Roman"/>
          <w:caps w:val="false"/>
          <w:smallCaps w:val="false"/>
          <w:sz w:val="20"/>
        </w:rPr>
        <w:t> </w:t>
      </w:r>
      <w:r>
        <w:rPr>
          <w:rFonts w:ascii="Times New Roman" w:hAnsi="Times New Roman"/>
          <w:b/>
          <w:i/>
          <w:caps w:val="false"/>
          <w:smallCaps w:val="false"/>
          <w:sz w:val="20"/>
        </w:rPr>
        <w:t>to Condensed Consolidated Financial Statements (Unaudited)</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caps w:val="false"/>
          <w:smallCaps w:val="false"/>
          <w:sz w:val="20"/>
        </w:rPr>
      </w:pPr>
      <w:bookmarkStart w:id="6" w:name="incomeloss"/>
      <w:bookmarkEnd w:id="6"/>
      <w:r>
        <w:rPr>
          <w:rFonts w:ascii="Times New Roman" w:hAnsi="Times New Roman"/>
          <w:b/>
          <w:caps w:val="false"/>
          <w:smallCaps w:val="false"/>
          <w:sz w:val="20"/>
        </w:rPr>
        <w:t>PDF SOLUTIONS,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 AND COMPREHENSIVE INCOME (LOSS)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11"/>
        <w:gridCol w:w="60"/>
        <w:gridCol w:w="198"/>
        <w:gridCol w:w="940"/>
        <w:gridCol w:w="127"/>
        <w:gridCol w:w="95"/>
        <w:gridCol w:w="198"/>
        <w:gridCol w:w="940"/>
        <w:gridCol w:w="80"/>
        <w:gridCol w:w="60"/>
        <w:gridCol w:w="176"/>
        <w:gridCol w:w="981"/>
        <w:gridCol w:w="112"/>
        <w:gridCol w:w="84"/>
        <w:gridCol w:w="176"/>
        <w:gridCol w:w="981"/>
        <w:gridCol w:w="86"/>
      </w:tblGrid>
      <w:tr>
        <w:tc>
          <w:tcPr>
            <w:tcW w:w="491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4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5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911"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1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ind w:left="0" w:right="0" w:hanging="0"/>
              <w:jc w:val="left"/>
            </w:pPr>
            <w: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91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940" w:type="dxa"/>
            <w:tcBorders/>
            <w:shd w:fill="CCEEFF" w:val="clear"/>
            <w:vAlign w:val="center"/>
          </w:tcPr>
          <w:p>
            <w:pPr>
              <w:pStyle w:val="TableContents"/>
              <w:bidi w:val="0"/>
              <w:spacing w:before="0" w:after="283"/>
              <w:jc w:val="left"/>
            </w:pPr>
            <w:r>
              <w:t> </w:t>
            </w:r>
          </w:p>
        </w:tc>
        <w:tc>
          <w:tcPr>
            <w:tcW w:w="127"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94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jc w:val="left"/>
            </w:pPr>
            <w:r>
              <w:t> </w:t>
            </w:r>
          </w:p>
        </w:tc>
        <w:tc>
          <w:tcPr>
            <w:tcW w:w="981"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jc w:val="left"/>
            </w:pPr>
            <w:r>
              <w:t> </w:t>
            </w:r>
          </w:p>
        </w:tc>
        <w:tc>
          <w:tcPr>
            <w:tcW w:w="981"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r>
      <w:tr>
        <w:tc>
          <w:tcPr>
            <w:tcW w:w="491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Platform</w:t>
            </w:r>
          </w:p>
        </w:tc>
        <w:tc>
          <w:tcPr>
            <w:tcW w:w="60" w:type="dxa"/>
            <w:tcBorders/>
            <w:shd w:fill="FFFFFF" w:val="clear"/>
            <w:vAlign w:val="center"/>
          </w:tcPr>
          <w:p>
            <w:pPr>
              <w:pStyle w:val="TableContents"/>
              <w:bidi w:val="0"/>
              <w:spacing w:before="0" w:after="283"/>
              <w:ind w:left="0" w:right="0" w:hanging="0"/>
              <w:jc w:val="left"/>
            </w:pPr>
            <w:r>
              <w:t> </w:t>
            </w:r>
          </w:p>
        </w:tc>
        <w:tc>
          <w:tcPr>
            <w:tcW w:w="1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58,331</w:t>
            </w:r>
          </w:p>
        </w:tc>
        <w:tc>
          <w:tcPr>
            <w:tcW w:w="127"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48,001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158,397</w:t>
            </w:r>
          </w:p>
        </w:tc>
        <w:tc>
          <w:tcPr>
            <w:tcW w:w="112" w:type="dxa"/>
            <w:tcBorders/>
            <w:shd w:fill="FFFFFF" w:val="cle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ind w:left="0" w:right="0" w:hanging="0"/>
              <w:jc w:val="left"/>
            </w:pPr>
            <w: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128,522</w:t>
            </w:r>
          </w:p>
        </w:tc>
        <w:tc>
          <w:tcPr>
            <w:tcW w:w="86" w:type="dxa"/>
            <w:tcBorders/>
            <w:shd w:fill="FFFFFF" w:val="clear"/>
            <w:vAlign w:val="center"/>
          </w:tcPr>
          <w:p>
            <w:pPr>
              <w:pStyle w:val="TableContents"/>
              <w:bidi w:val="0"/>
              <w:spacing w:before="0" w:after="283"/>
              <w:jc w:val="left"/>
            </w:pPr>
            <w:r>
              <w:t> </w:t>
            </w:r>
          </w:p>
        </w:tc>
      </w:tr>
      <w:tr>
        <w:tc>
          <w:tcPr>
            <w:tcW w:w="491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Volume-based</w:t>
            </w:r>
          </w:p>
        </w:tc>
        <w:tc>
          <w:tcPr>
            <w:tcW w:w="60" w:type="dxa"/>
            <w:tcBorders/>
            <w:shd w:fill="CCEEFF" w:val="clear"/>
            <w:vAlign w:val="center"/>
          </w:tcPr>
          <w:p>
            <w:pPr>
              <w:pStyle w:val="TableContents"/>
              <w:bidi w:val="0"/>
              <w:spacing w:before="0" w:after="283"/>
              <w:jc w:val="left"/>
            </w:pPr>
            <w: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10,003</w:t>
            </w:r>
          </w:p>
        </w:tc>
        <w:tc>
          <w:tcPr>
            <w:tcW w:w="127"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31,596</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jc w:val="left"/>
            </w:pPr>
            <w: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28,099</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4911"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revenues</w:t>
            </w:r>
          </w:p>
        </w:tc>
        <w:tc>
          <w:tcPr>
            <w:tcW w:w="60" w:type="dxa"/>
            <w:tcBorders/>
            <w:shd w:fill="FFFFFF" w:val="clear"/>
            <w:vAlign w:val="center"/>
          </w:tcPr>
          <w:p>
            <w:pPr>
              <w:pStyle w:val="TableContents"/>
              <w:bidi w:val="0"/>
              <w:spacing w:before="0" w:after="283"/>
              <w:jc w:val="left"/>
            </w:pPr>
            <w: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68,334</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57,115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189,993</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jc w:val="left"/>
            </w:pPr>
            <w: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156,621</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91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940" w:type="dxa"/>
            <w:tcBorders/>
            <w:shd w:fill="CCEEFF" w:val="clear"/>
            <w:vAlign w:val="center"/>
          </w:tcPr>
          <w:p>
            <w:pPr>
              <w:pStyle w:val="TableContents"/>
              <w:bidi w:val="0"/>
              <w:spacing w:before="0" w:after="283"/>
              <w:jc w:val="left"/>
            </w:pPr>
            <w:r>
              <w:t> </w:t>
            </w:r>
          </w:p>
        </w:tc>
        <w:tc>
          <w:tcPr>
            <w:tcW w:w="127"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94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jc w:val="left"/>
            </w:pPr>
            <w:r>
              <w:t> </w:t>
            </w:r>
          </w:p>
        </w:tc>
        <w:tc>
          <w:tcPr>
            <w:tcW w:w="981"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jc w:val="left"/>
            </w:pPr>
            <w:r>
              <w:t> </w:t>
            </w:r>
          </w:p>
        </w:tc>
        <w:tc>
          <w:tcPr>
            <w:tcW w:w="981"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r>
      <w:tr>
        <w:tc>
          <w:tcPr>
            <w:tcW w:w="491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Costs and Expenses:</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jc w:val="left"/>
            </w:pPr>
            <w:r>
              <w:t> </w:t>
            </w:r>
          </w:p>
        </w:tc>
        <w:tc>
          <w:tcPr>
            <w:tcW w:w="940" w:type="dxa"/>
            <w:tcBorders/>
            <w:shd w:fill="FFFFFF" w:val="clear"/>
            <w:vAlign w:val="center"/>
          </w:tcPr>
          <w:p>
            <w:pPr>
              <w:pStyle w:val="TableContents"/>
              <w:bidi w:val="0"/>
              <w:spacing w:before="0" w:after="283"/>
              <w:jc w:val="left"/>
            </w:pPr>
            <w:r>
              <w:t> </w:t>
            </w:r>
          </w:p>
        </w:tc>
        <w:tc>
          <w:tcPr>
            <w:tcW w:w="127"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jc w:val="left"/>
            </w:pPr>
            <w:r>
              <w:t> </w:t>
            </w:r>
          </w:p>
        </w:tc>
        <w:tc>
          <w:tcPr>
            <w:tcW w:w="94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jc w:val="left"/>
            </w:pPr>
            <w:r>
              <w:t> </w:t>
            </w:r>
          </w:p>
        </w:tc>
        <w:tc>
          <w:tcPr>
            <w:tcW w:w="981" w:type="dxa"/>
            <w:tcBorders/>
            <w:shd w:fill="FFFFFF" w:val="clear"/>
            <w:vAlign w:val="center"/>
          </w:tcPr>
          <w:p>
            <w:pPr>
              <w:pStyle w:val="TableContents"/>
              <w:bidi w:val="0"/>
              <w:spacing w:before="0" w:after="283"/>
              <w:jc w:val="left"/>
            </w:pPr>
            <w:r>
              <w:t> </w:t>
            </w:r>
          </w:p>
        </w:tc>
        <w:tc>
          <w:tcPr>
            <w:tcW w:w="112" w:type="dxa"/>
            <w:tcBorders/>
            <w:shd w:fill="FFFFFF" w:val="cle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jc w:val="left"/>
            </w:pPr>
            <w:r>
              <w:t> </w:t>
            </w:r>
          </w:p>
        </w:tc>
        <w:tc>
          <w:tcPr>
            <w:tcW w:w="981"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r>
      <w:tr>
        <w:tc>
          <w:tcPr>
            <w:tcW w:w="491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of revenues</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ind w:left="0" w:right="0" w:hanging="0"/>
              <w:jc w:val="left"/>
            </w:pPr>
            <w: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18,593</w:t>
            </w:r>
          </w:p>
        </w:tc>
        <w:tc>
          <w:tcPr>
            <w:tcW w:w="127"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ind w:left="0" w:right="0" w:hanging="0"/>
              <w:jc w:val="left"/>
            </w:pPr>
            <w: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ind w:left="0" w:right="0" w:hanging="0"/>
              <w:jc w:val="left"/>
            </w:pPr>
            <w: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54,638</w:t>
            </w:r>
          </w:p>
        </w:tc>
        <w:tc>
          <w:tcPr>
            <w:tcW w:w="112" w:type="dxa"/>
            <w:tcBorders/>
            <w:shd w:fill="CCEEFF" w:val="cle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ind w:left="0" w:right="0" w:hanging="0"/>
              <w:jc w:val="left"/>
            </w:pPr>
            <w: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43,681</w:t>
            </w:r>
          </w:p>
        </w:tc>
        <w:tc>
          <w:tcPr>
            <w:tcW w:w="86" w:type="dxa"/>
            <w:tcBorders/>
            <w:shd w:fill="CCEEFF" w:val="clear"/>
            <w:vAlign w:val="center"/>
          </w:tcPr>
          <w:p>
            <w:pPr>
              <w:pStyle w:val="TableContents"/>
              <w:bidi w:val="0"/>
              <w:spacing w:before="0" w:after="283"/>
              <w:jc w:val="left"/>
            </w:pPr>
            <w:r>
              <w:t> </w:t>
            </w:r>
          </w:p>
        </w:tc>
      </w:tr>
      <w:tr>
        <w:tc>
          <w:tcPr>
            <w:tcW w:w="491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ind w:left="0" w:right="0" w:hanging="0"/>
              <w:jc w:val="left"/>
            </w:pPr>
            <w: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19,446</w:t>
            </w:r>
          </w:p>
        </w:tc>
        <w:tc>
          <w:tcPr>
            <w:tcW w:w="127"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ind w:left="0" w:right="0" w:hanging="0"/>
              <w:jc w:val="left"/>
            </w:pPr>
            <w: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15,435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ind w:left="0" w:right="0" w:hanging="0"/>
              <w:jc w:val="left"/>
            </w:pPr>
            <w: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55,090</w:t>
            </w:r>
          </w:p>
        </w:tc>
        <w:tc>
          <w:tcPr>
            <w:tcW w:w="112" w:type="dxa"/>
            <w:tcBorders/>
            <w:shd w:fill="FFFFFF" w:val="cle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ind w:left="0" w:right="0" w:hanging="0"/>
              <w:jc w:val="left"/>
            </w:pPr>
            <w: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44,976</w:t>
            </w:r>
          </w:p>
        </w:tc>
        <w:tc>
          <w:tcPr>
            <w:tcW w:w="86" w:type="dxa"/>
            <w:tcBorders/>
            <w:shd w:fill="FFFFFF" w:val="clear"/>
            <w:vAlign w:val="center"/>
          </w:tcPr>
          <w:p>
            <w:pPr>
              <w:pStyle w:val="TableContents"/>
              <w:bidi w:val="0"/>
              <w:spacing w:before="0" w:after="283"/>
              <w:jc w:val="left"/>
            </w:pPr>
            <w:r>
              <w:t> </w:t>
            </w:r>
          </w:p>
        </w:tc>
      </w:tr>
      <w:tr>
        <w:tc>
          <w:tcPr>
            <w:tcW w:w="491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ind w:left="0" w:right="0" w:hanging="0"/>
              <w:jc w:val="left"/>
            </w:pPr>
            <w: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20,969</w:t>
            </w:r>
          </w:p>
        </w:tc>
        <w:tc>
          <w:tcPr>
            <w:tcW w:w="127"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ind w:left="0" w:right="0" w:hanging="0"/>
              <w:jc w:val="left"/>
            </w:pPr>
            <w: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19,944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ind w:left="0" w:right="0" w:hanging="0"/>
              <w:jc w:val="left"/>
            </w:pPr>
            <w: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57,445</w:t>
            </w:r>
          </w:p>
        </w:tc>
        <w:tc>
          <w:tcPr>
            <w:tcW w:w="112" w:type="dxa"/>
            <w:tcBorders/>
            <w:shd w:fill="CCEEFF" w:val="cle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ind w:left="0" w:right="0" w:hanging="0"/>
              <w:jc w:val="left"/>
            </w:pPr>
            <w: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63,060</w:t>
            </w:r>
          </w:p>
        </w:tc>
        <w:tc>
          <w:tcPr>
            <w:tcW w:w="86" w:type="dxa"/>
            <w:tcBorders/>
            <w:shd w:fill="CCEEFF" w:val="clear"/>
            <w:vAlign w:val="center"/>
          </w:tcPr>
          <w:p>
            <w:pPr>
              <w:pStyle w:val="TableContents"/>
              <w:bidi w:val="0"/>
              <w:spacing w:before="0" w:after="283"/>
              <w:jc w:val="left"/>
            </w:pPr>
            <w:r>
              <w:t> </w:t>
            </w:r>
          </w:p>
        </w:tc>
      </w:tr>
      <w:tr>
        <w:tc>
          <w:tcPr>
            <w:tcW w:w="491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 assets</w:t>
            </w:r>
          </w:p>
        </w:tc>
        <w:tc>
          <w:tcPr>
            <w:tcW w:w="60" w:type="dxa"/>
            <w:tcBorders/>
            <w:shd w:fill="FFFFFF" w:val="clear"/>
            <w:vAlign w:val="center"/>
          </w:tcPr>
          <w:p>
            <w:pPr>
              <w:pStyle w:val="TableContents"/>
              <w:bidi w:val="0"/>
              <w:spacing w:before="0" w:after="283"/>
              <w:jc w:val="left"/>
            </w:pPr>
            <w: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3,157</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jc w:val="left"/>
            </w:pPr>
            <w: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91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from operations</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ind w:left="0" w:right="0" w:hanging="0"/>
              <w:jc w:val="left"/>
            </w:pPr>
            <w: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8,286</w:t>
            </w:r>
          </w:p>
        </w:tc>
        <w:tc>
          <w:tcPr>
            <w:tcW w:w="127"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ind w:left="0" w:right="0" w:hanging="0"/>
              <w:jc w:val="left"/>
            </w:pPr>
            <w: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ind w:left="0" w:right="0" w:hanging="0"/>
              <w:jc w:val="left"/>
            </w:pPr>
            <w: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19,663</w:t>
            </w:r>
          </w:p>
        </w:tc>
        <w:tc>
          <w:tcPr>
            <w:tcW w:w="112" w:type="dxa"/>
            <w:tcBorders/>
            <w:shd w:fill="CCEEFF" w:val="cle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ind w:left="0" w:right="0" w:hanging="0"/>
              <w:jc w:val="left"/>
            </w:pPr>
            <w: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2,389</w:t>
            </w:r>
          </w:p>
        </w:tc>
        <w:tc>
          <w:tcPr>
            <w:tcW w:w="86" w:type="dxa"/>
            <w:tcBorders/>
            <w:shd w:fill="CCEEFF" w:val="clear"/>
            <w:vAlign w:val="center"/>
          </w:tcPr>
          <w:p>
            <w:pPr>
              <w:pStyle w:val="TableContents"/>
              <w:bidi w:val="0"/>
              <w:spacing w:before="0" w:after="283"/>
              <w:jc w:val="left"/>
            </w:pPr>
            <w:r>
              <w:t> </w:t>
            </w:r>
          </w:p>
        </w:tc>
      </w:tr>
      <w:tr>
        <w:tc>
          <w:tcPr>
            <w:tcW w:w="491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ind w:left="0" w:right="0" w:hanging="0"/>
              <w:jc w:val="left"/>
            </w:pPr>
            <w: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ind w:left="0" w:right="0" w:hanging="0"/>
              <w:jc w:val="left"/>
            </w:pPr>
            <w: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ind w:left="0" w:right="0" w:hanging="0"/>
              <w:jc w:val="left"/>
            </w:pPr>
            <w: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(3,318</w:t>
            </w:r>
          </w:p>
        </w:tc>
        <w:tc>
          <w:tcPr>
            <w:tcW w:w="1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ind w:left="0" w:right="0" w:hanging="0"/>
              <w:jc w:val="left"/>
            </w:pPr>
            <w: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(2,791</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91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and other, net</w:t>
            </w:r>
          </w:p>
        </w:tc>
        <w:tc>
          <w:tcPr>
            <w:tcW w:w="60" w:type="dxa"/>
            <w:tcBorders/>
            <w:shd w:fill="CCEEFF" w:val="clear"/>
            <w:vAlign w:val="center"/>
          </w:tcPr>
          <w:p>
            <w:pPr>
              <w:pStyle w:val="TableContents"/>
              <w:bidi w:val="0"/>
              <w:spacing w:before="0" w:after="283"/>
              <w:jc w:val="left"/>
            </w:pPr>
            <w: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127"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2,447</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jc w:val="left"/>
            </w:pPr>
            <w: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491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before income tax expense</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ind w:left="0" w:right="0" w:hanging="0"/>
              <w:jc w:val="left"/>
            </w:pPr>
            <w: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8,352</w:t>
            </w:r>
          </w:p>
        </w:tc>
        <w:tc>
          <w:tcPr>
            <w:tcW w:w="127"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ind w:left="0" w:right="0" w:hanging="0"/>
              <w:jc w:val="left"/>
            </w:pPr>
            <w: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ind w:left="0" w:right="0" w:hanging="0"/>
              <w:jc w:val="left"/>
            </w:pPr>
            <w: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18,792</w:t>
            </w:r>
          </w:p>
        </w:tc>
        <w:tc>
          <w:tcPr>
            <w:tcW w:w="112" w:type="dxa"/>
            <w:tcBorders/>
            <w:shd w:fill="FFFFFF" w:val="cle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ind w:left="0" w:right="0" w:hanging="0"/>
              <w:jc w:val="left"/>
            </w:pPr>
            <w: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w:t>
            </w:r>
          </w:p>
        </w:tc>
        <w:tc>
          <w:tcPr>
            <w:tcW w:w="86" w:type="dxa"/>
            <w:tcBorders/>
            <w:shd w:fill="FFFFFF" w:val="clear"/>
            <w:vAlign w:val="center"/>
          </w:tcPr>
          <w:p>
            <w:pPr>
              <w:pStyle w:val="TableContents"/>
              <w:bidi w:val="0"/>
              <w:spacing w:before="0" w:after="283"/>
              <w:jc w:val="left"/>
            </w:pPr>
            <w:r>
              <w:t> </w:t>
            </w:r>
          </w:p>
        </w:tc>
      </w:tr>
      <w:tr>
        <w:tc>
          <w:tcPr>
            <w:tcW w:w="491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pPr>
            <w: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w:t>
            </w:r>
          </w:p>
        </w:tc>
        <w:tc>
          <w:tcPr>
            <w:tcW w:w="12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pPr>
            <w: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(2,889</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pPr>
            <w: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(1,154</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91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pPr>
            <w: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6,841</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15,903</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ind w:left="0" w:right="0" w:hanging="0"/>
              <w:jc w:val="left"/>
            </w:pPr>
            <w: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91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940" w:type="dxa"/>
            <w:tcBorders/>
            <w:shd w:fill="CCEEFF" w:val="clear"/>
            <w:vAlign w:val="center"/>
          </w:tcPr>
          <w:p>
            <w:pPr>
              <w:pStyle w:val="TableContents"/>
              <w:bidi w:val="0"/>
              <w:spacing w:before="0" w:after="283"/>
              <w:jc w:val="left"/>
            </w:pPr>
            <w:r>
              <w:t> </w:t>
            </w:r>
          </w:p>
        </w:tc>
        <w:tc>
          <w:tcPr>
            <w:tcW w:w="127"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94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jc w:val="left"/>
            </w:pPr>
            <w:r>
              <w:t> </w:t>
            </w:r>
          </w:p>
        </w:tc>
        <w:tc>
          <w:tcPr>
            <w:tcW w:w="981"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jc w:val="left"/>
            </w:pPr>
            <w:r>
              <w:t> </w:t>
            </w:r>
          </w:p>
        </w:tc>
        <w:tc>
          <w:tcPr>
            <w:tcW w:w="981"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r>
      <w:tr>
        <w:tc>
          <w:tcPr>
            <w:tcW w:w="491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jc w:val="left"/>
            </w:pPr>
            <w:r>
              <w:t> </w:t>
            </w:r>
          </w:p>
        </w:tc>
        <w:tc>
          <w:tcPr>
            <w:tcW w:w="940" w:type="dxa"/>
            <w:tcBorders/>
            <w:shd w:fill="FFFFFF" w:val="clear"/>
            <w:vAlign w:val="center"/>
          </w:tcPr>
          <w:p>
            <w:pPr>
              <w:pStyle w:val="TableContents"/>
              <w:bidi w:val="0"/>
              <w:spacing w:before="0" w:after="283"/>
              <w:jc w:val="left"/>
            </w:pPr>
            <w:r>
              <w:t> </w:t>
            </w:r>
          </w:p>
        </w:tc>
        <w:tc>
          <w:tcPr>
            <w:tcW w:w="127"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jc w:val="left"/>
            </w:pPr>
            <w:r>
              <w:t> </w:t>
            </w:r>
          </w:p>
        </w:tc>
        <w:tc>
          <w:tcPr>
            <w:tcW w:w="94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jc w:val="left"/>
            </w:pPr>
            <w:r>
              <w:t> </w:t>
            </w:r>
          </w:p>
        </w:tc>
        <w:tc>
          <w:tcPr>
            <w:tcW w:w="981" w:type="dxa"/>
            <w:tcBorders/>
            <w:shd w:fill="FFFFFF" w:val="clear"/>
            <w:vAlign w:val="center"/>
          </w:tcPr>
          <w:p>
            <w:pPr>
              <w:pStyle w:val="TableContents"/>
              <w:bidi w:val="0"/>
              <w:spacing w:before="0" w:after="283"/>
              <w:jc w:val="left"/>
            </w:pPr>
            <w:r>
              <w:t> </w:t>
            </w:r>
          </w:p>
        </w:tc>
        <w:tc>
          <w:tcPr>
            <w:tcW w:w="112" w:type="dxa"/>
            <w:tcBorders/>
            <w:shd w:fill="FFFFFF" w:val="cle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jc w:val="left"/>
            </w:pPr>
            <w:r>
              <w:t> </w:t>
            </w:r>
          </w:p>
        </w:tc>
        <w:tc>
          <w:tcPr>
            <w:tcW w:w="981"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r>
      <w:tr>
        <w:tc>
          <w:tcPr>
            <w:tcW w:w="491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 net of tax</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ind w:left="0" w:right="0" w:hanging="0"/>
              <w:jc w:val="left"/>
            </w:pPr>
            <w: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127"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ind w:left="0" w:right="0" w:hanging="0"/>
              <w:jc w:val="left"/>
            </w:pPr>
            <w: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ind w:left="0" w:right="0" w:hanging="0"/>
              <w:jc w:val="left"/>
            </w:pPr>
            <w: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ind w:left="0" w:right="0" w:hanging="0"/>
              <w:jc w:val="left"/>
            </w:pPr>
            <w: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w:t>
            </w:r>
          </w:p>
        </w:tc>
        <w:tc>
          <w:tcPr>
            <w:tcW w:w="86" w:type="dxa"/>
            <w:tcBorders/>
            <w:shd w:fill="CCEEFF" w:val="clear"/>
            <w:vAlign w:val="center"/>
          </w:tcPr>
          <w:p>
            <w:pPr>
              <w:pStyle w:val="TableContents"/>
              <w:bidi w:val="0"/>
              <w:spacing w:before="0" w:after="283"/>
              <w:jc w:val="left"/>
            </w:pPr>
            <w:r>
              <w:t> </w:t>
            </w:r>
          </w:p>
        </w:tc>
      </w:tr>
      <w:tr>
        <w:tc>
          <w:tcPr>
            <w:tcW w:w="491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unrealized loss related to available-for-sale debt securities, net of tax</w:t>
            </w:r>
          </w:p>
        </w:tc>
        <w:tc>
          <w:tcPr>
            <w:tcW w:w="60" w:type="dxa"/>
            <w:tcBorders/>
            <w:shd w:fill="FFFFFF" w:val="clear"/>
            <w:vAlign w:val="center"/>
          </w:tcPr>
          <w:p>
            <w:pPr>
              <w:pStyle w:val="TableContents"/>
              <w:bidi w:val="0"/>
              <w:spacing w:before="0" w:after="283"/>
              <w:jc w:val="left"/>
            </w:pPr>
            <w: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jc w:val="left"/>
            </w:pPr>
            <w: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911"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other comprehensive income (loss)</w:t>
            </w:r>
          </w:p>
        </w:tc>
        <w:tc>
          <w:tcPr>
            <w:tcW w:w="60" w:type="dxa"/>
            <w:tcBorders/>
            <w:shd w:fill="CCEEFF" w:val="clear"/>
            <w:vAlign w:val="center"/>
          </w:tcPr>
          <w:p>
            <w:pPr>
              <w:pStyle w:val="TableContents"/>
              <w:bidi w:val="0"/>
              <w:spacing w:before="0" w:after="283"/>
              <w:jc w:val="left"/>
            </w:pPr>
            <w: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127"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pPr>
            <w: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491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income</w:t>
            </w:r>
          </w:p>
        </w:tc>
        <w:tc>
          <w:tcPr>
            <w:tcW w:w="60" w:type="dxa"/>
            <w:tcBorders/>
            <w:shd w:fill="FFFFFF" w:val="clear"/>
            <w:vAlign w:val="center"/>
          </w:tcPr>
          <w:p>
            <w:pPr>
              <w:pStyle w:val="TableContents"/>
              <w:bidi w:val="0"/>
              <w:spacing w:before="0" w:after="283"/>
              <w:ind w:left="0" w:right="0" w:hanging="0"/>
              <w:jc w:val="left"/>
            </w:pPr>
            <w: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7,096</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15,833</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ind w:left="0" w:right="0" w:hanging="0"/>
              <w:jc w:val="left"/>
            </w:pPr>
            <w: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r>
        <w:tc>
          <w:tcPr>
            <w:tcW w:w="491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940" w:type="dxa"/>
            <w:tcBorders/>
            <w:shd w:fill="CCEEFF" w:val="clear"/>
            <w:vAlign w:val="center"/>
          </w:tcPr>
          <w:p>
            <w:pPr>
              <w:pStyle w:val="TableContents"/>
              <w:bidi w:val="0"/>
              <w:spacing w:before="0" w:after="283"/>
              <w:jc w:val="left"/>
            </w:pPr>
            <w:r>
              <w:t> </w:t>
            </w:r>
          </w:p>
        </w:tc>
        <w:tc>
          <w:tcPr>
            <w:tcW w:w="127"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94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jc w:val="left"/>
            </w:pPr>
            <w:r>
              <w:t> </w:t>
            </w:r>
          </w:p>
        </w:tc>
        <w:tc>
          <w:tcPr>
            <w:tcW w:w="981"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jc w:val="left"/>
            </w:pPr>
            <w:r>
              <w:t> </w:t>
            </w:r>
          </w:p>
        </w:tc>
        <w:tc>
          <w:tcPr>
            <w:tcW w:w="981"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r>
      <w:tr>
        <w:tc>
          <w:tcPr>
            <w:tcW w:w="491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per share:</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jc w:val="left"/>
            </w:pPr>
            <w:r>
              <w:t> </w:t>
            </w:r>
          </w:p>
        </w:tc>
        <w:tc>
          <w:tcPr>
            <w:tcW w:w="940" w:type="dxa"/>
            <w:tcBorders/>
            <w:shd w:fill="FFFFFF" w:val="clear"/>
            <w:vAlign w:val="center"/>
          </w:tcPr>
          <w:p>
            <w:pPr>
              <w:pStyle w:val="TableContents"/>
              <w:bidi w:val="0"/>
              <w:spacing w:before="0" w:after="283"/>
              <w:jc w:val="left"/>
            </w:pPr>
            <w:r>
              <w:t> </w:t>
            </w:r>
          </w:p>
        </w:tc>
        <w:tc>
          <w:tcPr>
            <w:tcW w:w="127"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jc w:val="left"/>
            </w:pPr>
            <w:r>
              <w:t> </w:t>
            </w:r>
          </w:p>
        </w:tc>
        <w:tc>
          <w:tcPr>
            <w:tcW w:w="94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jc w:val="left"/>
            </w:pPr>
            <w:r>
              <w:t> </w:t>
            </w:r>
          </w:p>
        </w:tc>
        <w:tc>
          <w:tcPr>
            <w:tcW w:w="981" w:type="dxa"/>
            <w:tcBorders/>
            <w:shd w:fill="FFFFFF" w:val="clear"/>
            <w:vAlign w:val="center"/>
          </w:tcPr>
          <w:p>
            <w:pPr>
              <w:pStyle w:val="TableContents"/>
              <w:bidi w:val="0"/>
              <w:spacing w:before="0" w:after="283"/>
              <w:jc w:val="left"/>
            </w:pPr>
            <w:r>
              <w:t> </w:t>
            </w:r>
          </w:p>
        </w:tc>
        <w:tc>
          <w:tcPr>
            <w:tcW w:w="112" w:type="dxa"/>
            <w:tcBorders/>
            <w:shd w:fill="FFFFFF" w:val="cle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jc w:val="left"/>
            </w:pPr>
            <w:r>
              <w:t> </w:t>
            </w:r>
          </w:p>
        </w:tc>
        <w:tc>
          <w:tcPr>
            <w:tcW w:w="981"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r>
      <w:tr>
        <w:tc>
          <w:tcPr>
            <w:tcW w:w="491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pPr>
            <w: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ind w:left="0" w:right="0" w:hanging="0"/>
              <w:jc w:val="left"/>
            </w:pPr>
            <w: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0.39</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ind w:left="0" w:right="0" w:hanging="0"/>
              <w:jc w:val="left"/>
            </w:pPr>
            <w: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91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pPr>
            <w: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ind w:left="0" w:right="0" w:hanging="0"/>
              <w:jc w:val="left"/>
            </w:pPr>
            <w: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0.38</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ind w:left="0" w:right="0" w:hanging="0"/>
              <w:jc w:val="left"/>
            </w:pPr>
            <w: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91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940" w:type="dxa"/>
            <w:tcBorders/>
            <w:shd w:fill="CCEEFF" w:val="clear"/>
            <w:vAlign w:val="center"/>
          </w:tcPr>
          <w:p>
            <w:pPr>
              <w:pStyle w:val="TableContents"/>
              <w:bidi w:val="0"/>
              <w:spacing w:before="0" w:after="283"/>
              <w:jc w:val="left"/>
            </w:pPr>
            <w:r>
              <w:t> </w:t>
            </w:r>
          </w:p>
        </w:tc>
        <w:tc>
          <w:tcPr>
            <w:tcW w:w="127"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98" w:type="dxa"/>
            <w:tcBorders/>
            <w:shd w:fill="CCEEFF" w:val="clear"/>
            <w:vAlign w:val="center"/>
          </w:tcPr>
          <w:p>
            <w:pPr>
              <w:pStyle w:val="TableContents"/>
              <w:bidi w:val="0"/>
              <w:spacing w:before="0" w:after="283"/>
              <w:jc w:val="left"/>
            </w:pPr>
            <w:r>
              <w:t> </w:t>
            </w:r>
          </w:p>
        </w:tc>
        <w:tc>
          <w:tcPr>
            <w:tcW w:w="940"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jc w:val="left"/>
            </w:pPr>
            <w:r>
              <w:t> </w:t>
            </w:r>
          </w:p>
        </w:tc>
        <w:tc>
          <w:tcPr>
            <w:tcW w:w="981" w:type="dxa"/>
            <w:tcBorders/>
            <w:shd w:fill="CCEEFF" w:val="clear"/>
            <w:vAlign w:val="center"/>
          </w:tcPr>
          <w:p>
            <w:pPr>
              <w:pStyle w:val="TableContents"/>
              <w:bidi w:val="0"/>
              <w:spacing w:before="0" w:after="283"/>
              <w:jc w:val="left"/>
            </w:pPr>
            <w:r>
              <w:t> </w:t>
            </w:r>
          </w:p>
        </w:tc>
        <w:tc>
          <w:tcPr>
            <w:tcW w:w="112" w:type="dxa"/>
            <w:tcBorders/>
            <w:shd w:fill="CCEEFF" w:val="cle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jc w:val="left"/>
            </w:pPr>
            <w:r>
              <w:t> </w:t>
            </w:r>
          </w:p>
        </w:tc>
        <w:tc>
          <w:tcPr>
            <w:tcW w:w="981"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r>
      <w:tr>
        <w:tc>
          <w:tcPr>
            <w:tcW w:w="4911" w:type="dxa"/>
            <w:tcBorders/>
            <w:shd w:fill="FFFFFF" w:val="clear"/>
            <w:vAlign w:val="center"/>
          </w:tcPr>
          <w:p>
            <w:pPr>
              <w:pStyle w:val="TableContents"/>
              <w:bidi w:val="0"/>
              <w:spacing w:before="0" w:after="0"/>
              <w:ind w:left="360" w:right="0" w:hanging="3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common shares used to calculate net income (loss) per share:</w:t>
            </w:r>
          </w:p>
        </w:tc>
        <w:tc>
          <w:tcPr>
            <w:tcW w:w="60"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jc w:val="left"/>
            </w:pPr>
            <w:r>
              <w:t> </w:t>
            </w:r>
          </w:p>
        </w:tc>
        <w:tc>
          <w:tcPr>
            <w:tcW w:w="940" w:type="dxa"/>
            <w:tcBorders/>
            <w:shd w:fill="FFFFFF" w:val="clear"/>
            <w:vAlign w:val="center"/>
          </w:tcPr>
          <w:p>
            <w:pPr>
              <w:pStyle w:val="TableContents"/>
              <w:bidi w:val="0"/>
              <w:spacing w:before="0" w:after="283"/>
              <w:jc w:val="left"/>
            </w:pPr>
            <w:r>
              <w:t> </w:t>
            </w:r>
          </w:p>
        </w:tc>
        <w:tc>
          <w:tcPr>
            <w:tcW w:w="127"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198" w:type="dxa"/>
            <w:tcBorders/>
            <w:shd w:fill="FFFFFF" w:val="clear"/>
            <w:vAlign w:val="center"/>
          </w:tcPr>
          <w:p>
            <w:pPr>
              <w:pStyle w:val="TableContents"/>
              <w:bidi w:val="0"/>
              <w:spacing w:before="0" w:after="283"/>
              <w:jc w:val="left"/>
            </w:pPr>
            <w:r>
              <w:t> </w:t>
            </w:r>
          </w:p>
        </w:tc>
        <w:tc>
          <w:tcPr>
            <w:tcW w:w="940"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jc w:val="left"/>
            </w:pPr>
            <w:r>
              <w:t> </w:t>
            </w:r>
          </w:p>
        </w:tc>
        <w:tc>
          <w:tcPr>
            <w:tcW w:w="981" w:type="dxa"/>
            <w:tcBorders/>
            <w:shd w:fill="FFFFFF" w:val="clear"/>
            <w:vAlign w:val="center"/>
          </w:tcPr>
          <w:p>
            <w:pPr>
              <w:pStyle w:val="TableContents"/>
              <w:bidi w:val="0"/>
              <w:spacing w:before="0" w:after="283"/>
              <w:jc w:val="left"/>
            </w:pPr>
            <w:r>
              <w:t> </w:t>
            </w:r>
          </w:p>
        </w:tc>
        <w:tc>
          <w:tcPr>
            <w:tcW w:w="112" w:type="dxa"/>
            <w:tcBorders/>
            <w:shd w:fill="FFFFFF" w:val="cle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jc w:val="left"/>
            </w:pPr>
            <w:r>
              <w:t> </w:t>
            </w:r>
          </w:p>
        </w:tc>
        <w:tc>
          <w:tcPr>
            <w:tcW w:w="981"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r>
      <w:tr>
        <w:tc>
          <w:tcPr>
            <w:tcW w:w="491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pPr>
            <w: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42,193</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39,500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41,003</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84" w:type="dxa"/>
            <w:tcBorders/>
            <w:shd w:fill="CCEEFF" w:val="clear"/>
            <w:vAlign w:val="center"/>
          </w:tcPr>
          <w:p>
            <w:pPr>
              <w:pStyle w:val="TableContents"/>
              <w:bidi w:val="0"/>
              <w:spacing w:before="0" w:after="283"/>
              <w:jc w:val="left"/>
            </w:pPr>
            <w: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39,247</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491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pPr>
            <w: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42,976</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39,619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41,718</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84" w:type="dxa"/>
            <w:tcBorders/>
            <w:shd w:fill="FFFFFF" w:val="clear"/>
            <w:vAlign w:val="center"/>
          </w:tcPr>
          <w:p>
            <w:pPr>
              <w:pStyle w:val="TableContents"/>
              <w:bidi w:val="0"/>
              <w:spacing w:before="0" w:after="283"/>
              <w:jc w:val="left"/>
            </w:pPr>
            <w: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39,247</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360"/>
        <w:jc w:val="center"/>
        <w:rPr>
          <w:rFonts w:ascii="Times New Roman" w:hAnsi="Times New Roman"/>
          <w:caps w:val="false"/>
          <w:smallCaps w:val="false"/>
          <w:sz w:val="20"/>
        </w:rPr>
      </w:pPr>
      <w:r>
        <w:rPr>
          <w:rFonts w:ascii="Times New Roman" w:hAnsi="Times New Roman"/>
          <w:b/>
          <w:i/>
          <w:caps w:val="false"/>
          <w:smallCaps w:val="false"/>
          <w:sz w:val="20"/>
        </w:rPr>
        <w:t>See accompanying</w:t>
      </w:r>
      <w:r>
        <w:rPr>
          <w:rFonts w:ascii="Times New Roman" w:hAnsi="Times New Roman"/>
          <w:caps w:val="false"/>
          <w:smallCaps w:val="false"/>
          <w:sz w:val="20"/>
        </w:rPr>
        <w:t> </w:t>
      </w:r>
      <w:r>
        <w:rPr>
          <w:rFonts w:ascii="Times New Roman" w:hAnsi="Times New Roman"/>
          <w:b/>
          <w:i/>
          <w:caps w:val="false"/>
          <w:smallCaps w:val="false"/>
          <w:sz w:val="20"/>
        </w:rPr>
        <w:t>Notes</w:t>
      </w:r>
      <w:r>
        <w:rPr>
          <w:rFonts w:ascii="Times New Roman" w:hAnsi="Times New Roman"/>
          <w:caps w:val="false"/>
          <w:smallCaps w:val="false"/>
          <w:sz w:val="20"/>
        </w:rPr>
        <w:t> </w:t>
      </w:r>
      <w:r>
        <w:rPr>
          <w:rFonts w:ascii="Times New Roman" w:hAnsi="Times New Roman"/>
          <w:b/>
          <w:i/>
          <w:caps w:val="false"/>
          <w:smallCaps w:val="false"/>
          <w:sz w:val="20"/>
        </w:rPr>
        <w:t>to Condensed Consolidated Financial Statements (Unaudited)</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caps w:val="false"/>
          <w:smallCaps w:val="false"/>
          <w:sz w:val="20"/>
        </w:rPr>
      </w:pPr>
      <w:bookmarkStart w:id="7" w:name="se"/>
      <w:bookmarkEnd w:id="7"/>
      <w:r>
        <w:rPr>
          <w:rFonts w:ascii="Times New Roman" w:hAnsi="Times New Roman"/>
          <w:b/>
          <w:caps w:val="false"/>
          <w:smallCaps w:val="false"/>
          <w:sz w:val="20"/>
        </w:rPr>
        <w:t>PDF SOLUTIONS,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9"/>
        <w:gridCol w:w="60"/>
        <w:gridCol w:w="60"/>
        <w:gridCol w:w="522"/>
        <w:gridCol w:w="60"/>
        <w:gridCol w:w="60"/>
        <w:gridCol w:w="170"/>
        <w:gridCol w:w="405"/>
        <w:gridCol w:w="60"/>
        <w:gridCol w:w="60"/>
        <w:gridCol w:w="116"/>
        <w:gridCol w:w="639"/>
        <w:gridCol w:w="60"/>
        <w:gridCol w:w="60"/>
        <w:gridCol w:w="60"/>
        <w:gridCol w:w="515"/>
        <w:gridCol w:w="60"/>
        <w:gridCol w:w="60"/>
        <w:gridCol w:w="110"/>
        <w:gridCol w:w="665"/>
        <w:gridCol w:w="80"/>
        <w:gridCol w:w="60"/>
        <w:gridCol w:w="150"/>
        <w:gridCol w:w="785"/>
        <w:gridCol w:w="80"/>
        <w:gridCol w:w="60"/>
        <w:gridCol w:w="252"/>
        <w:gridCol w:w="966"/>
        <w:gridCol w:w="80"/>
        <w:gridCol w:w="60"/>
        <w:gridCol w:w="145"/>
        <w:gridCol w:w="802"/>
        <w:gridCol w:w="84"/>
      </w:tblGrid>
      <w:tr>
        <w:tc>
          <w:tcPr>
            <w:tcW w:w="279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62" w:type="dxa"/>
            <w:gridSpan w:val="3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Three Months Ended September 30, 2026</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79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22"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0" w:type="dxa"/>
            <w:tcBorders/>
            <w:shd w:fill="FFFFFF" w:val="clear"/>
            <w:vAlign w:val="center"/>
          </w:tcPr>
          <w:p>
            <w:pPr>
              <w:pStyle w:val="TableContents"/>
              <w:bidi w:val="0"/>
              <w:spacing w:before="0" w:after="283"/>
              <w:jc w:val="left"/>
            </w:pPr>
            <w:r>
              <w:t> </w:t>
            </w:r>
          </w:p>
        </w:tc>
        <w:tc>
          <w:tcPr>
            <w:tcW w:w="40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Additional</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1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665"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jc w:val="left"/>
            </w:pPr>
            <w:r>
              <w:t> </w:t>
            </w:r>
          </w:p>
        </w:tc>
        <w:tc>
          <w:tcPr>
            <w:tcW w:w="785"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18"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Accumulated Other</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47"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Total</w:t>
            </w:r>
          </w:p>
        </w:tc>
        <w:tc>
          <w:tcPr>
            <w:tcW w:w="84" w:type="dxa"/>
            <w:tcBorders/>
            <w:shd w:fill="FFFFFF" w:val="clear"/>
            <w:vAlign w:val="center"/>
          </w:tcPr>
          <w:p>
            <w:pPr>
              <w:pStyle w:val="TableContents"/>
              <w:bidi w:val="0"/>
              <w:spacing w:before="0" w:after="283"/>
              <w:jc w:val="left"/>
            </w:pPr>
            <w:r>
              <w:t> </w:t>
            </w:r>
          </w:p>
        </w:tc>
      </w:tr>
      <w:tr>
        <w:tc>
          <w:tcPr>
            <w:tcW w:w="279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7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Paid-In</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Treasury Stock</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3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Accumulated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18"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Comprehensive</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47"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Stockholders’</w:t>
            </w:r>
          </w:p>
        </w:tc>
        <w:tc>
          <w:tcPr>
            <w:tcW w:w="84" w:type="dxa"/>
            <w:tcBorders/>
            <w:shd w:fill="FFFFFF" w:val="clear"/>
            <w:vAlign w:val="center"/>
          </w:tcPr>
          <w:p>
            <w:pPr>
              <w:pStyle w:val="TableContents"/>
              <w:bidi w:val="0"/>
              <w:spacing w:before="0" w:after="283"/>
              <w:jc w:val="left"/>
            </w:pPr>
            <w:r>
              <w:t> </w:t>
            </w:r>
          </w:p>
        </w:tc>
      </w:tr>
      <w:tr>
        <w:tc>
          <w:tcPr>
            <w:tcW w:w="279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Income (Loss)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Equity</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79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June 30, 2026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2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41,889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6"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630,335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12,321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(169,904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pPr>
            <w:r>
              <w:t> </w:t>
            </w:r>
          </w:p>
        </w:tc>
        <w:tc>
          <w:tcPr>
            <w:tcW w:w="15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(85,566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pPr>
            <w:r>
              <w:t> </w:t>
            </w:r>
          </w:p>
        </w:tc>
        <w:tc>
          <w:tcPr>
            <w:tcW w:w="252"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pPr>
            <w: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372,495</w:t>
            </w:r>
          </w:p>
        </w:tc>
        <w:tc>
          <w:tcPr>
            <w:tcW w:w="84" w:type="dxa"/>
            <w:tcBorders/>
            <w:shd w:fill="FFFFFF" w:val="clear"/>
            <w:vAlign w:val="center"/>
          </w:tcPr>
          <w:p>
            <w:pPr>
              <w:pStyle w:val="TableContents"/>
              <w:bidi w:val="0"/>
              <w:spacing w:before="0" w:after="283"/>
              <w:jc w:val="left"/>
            </w:pPr>
            <w:r>
              <w:t> </w:t>
            </w:r>
          </w:p>
        </w:tc>
      </w:tr>
      <w:tr>
        <w:tc>
          <w:tcPr>
            <w:tcW w:w="27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under equity plans</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405"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jc w:val="left"/>
            </w:pPr>
            <w:r>
              <w:t> </w:t>
            </w:r>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2,168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15"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665"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jc w:val="left"/>
            </w:pPr>
            <w:r>
              <w:t> </w:t>
            </w:r>
          </w:p>
        </w:tc>
        <w:tc>
          <w:tcPr>
            <w:tcW w:w="785"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2" w:type="dxa"/>
            <w:tcBorders/>
            <w:shd w:fill="CCEEFF" w:val="clear"/>
            <w:vAlign w:val="center"/>
          </w:tcPr>
          <w:p>
            <w:pPr>
              <w:pStyle w:val="TableContents"/>
              <w:bidi w:val="0"/>
              <w:spacing w:before="0" w:after="283"/>
              <w:jc w:val="left"/>
            </w:pPr>
            <w:r>
              <w:t> </w:t>
            </w:r>
          </w:p>
        </w:tc>
        <w:tc>
          <w:tcPr>
            <w:tcW w:w="966"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80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2,168</w:t>
            </w:r>
          </w:p>
        </w:tc>
        <w:tc>
          <w:tcPr>
            <w:tcW w:w="84" w:type="dxa"/>
            <w:tcBorders/>
            <w:shd w:fill="CCEEFF" w:val="clear"/>
            <w:vAlign w:val="center"/>
          </w:tcPr>
          <w:p>
            <w:pPr>
              <w:pStyle w:val="TableContents"/>
              <w:bidi w:val="0"/>
              <w:spacing w:before="0" w:after="283"/>
              <w:jc w:val="left"/>
            </w:pPr>
            <w:r>
              <w:t> </w:t>
            </w:r>
          </w:p>
        </w:tc>
      </w:tr>
      <w:tr>
        <w:tc>
          <w:tcPr>
            <w:tcW w:w="2799"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withheld for taxes related to shares issued under equity plans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22"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0" w:type="dxa"/>
            <w:tcBorders/>
            <w:shd w:fill="FFFFFF" w:val="clear"/>
            <w:vAlign w:val="center"/>
          </w:tcPr>
          <w:p>
            <w:pPr>
              <w:pStyle w:val="TableContents"/>
              <w:bidi w:val="0"/>
              <w:spacing w:before="0" w:after="283"/>
              <w:ind w:left="0" w:right="0" w:hanging="0"/>
              <w:jc w:val="left"/>
            </w:pPr>
            <w:r>
              <w:t> </w:t>
            </w:r>
          </w:p>
        </w:tc>
        <w:tc>
          <w:tcPr>
            <w:tcW w:w="40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(7,529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78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2" w:type="dxa"/>
            <w:tcBorders/>
            <w:shd w:fill="FFFFFF" w:val="clear"/>
            <w:vAlign w:val="center"/>
          </w:tcPr>
          <w:p>
            <w:pPr>
              <w:pStyle w:val="TableContents"/>
              <w:bidi w:val="0"/>
              <w:spacing w:before="0" w:after="283"/>
              <w:ind w:left="0" w:right="0" w:hanging="0"/>
              <w:jc w:val="left"/>
            </w:pPr>
            <w:r>
              <w:t> </w:t>
            </w:r>
          </w:p>
        </w:tc>
        <w:tc>
          <w:tcPr>
            <w:tcW w:w="966"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ind w:left="0" w:right="0" w:hanging="0"/>
              <w:jc w:val="left"/>
            </w:pPr>
            <w: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(7,529</w:t>
            </w:r>
          </w:p>
        </w:tc>
        <w:tc>
          <w:tcPr>
            <w:tcW w:w="8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27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expense</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22" w:type="dxa"/>
            <w:tcBorders/>
            <w:shd w:fill="CCEEFF" w:val="clear"/>
            <w:vAlign w:val="center"/>
          </w:tcPr>
          <w:p>
            <w:pPr>
              <w:pStyle w:val="TableContents"/>
              <w:bidi w:val="0"/>
              <w:spacing w:before="0" w:after="283"/>
              <w:jc w:val="right"/>
            </w:pPr>
            <w:r>
              <w:rPr>
                <w:rStyle w:val="Emphasis"/>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jc w:val="left"/>
            </w:pPr>
            <w:r>
              <w:t> </w:t>
            </w:r>
          </w:p>
        </w:tc>
        <w:tc>
          <w:tcPr>
            <w:tcW w:w="405" w:type="dxa"/>
            <w:tcBorders/>
            <w:shd w:fill="CCEEFF" w:val="clear"/>
            <w:vAlign w:val="center"/>
          </w:tcPr>
          <w:p>
            <w:pPr>
              <w:pStyle w:val="TableContents"/>
              <w:bidi w:val="0"/>
              <w:spacing w:before="0" w:after="283"/>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jc w:val="left"/>
            </w:pPr>
            <w:r>
              <w:t> </w:t>
            </w:r>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8,778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515" w:type="dxa"/>
            <w:tcBorders/>
            <w:shd w:fill="CCEEFF" w:val="clear"/>
            <w:vAlign w:val="center"/>
          </w:tcPr>
          <w:p>
            <w:pPr>
              <w:pStyle w:val="TableContents"/>
              <w:bidi w:val="0"/>
              <w:spacing w:before="0" w:after="283"/>
              <w:jc w:val="right"/>
            </w:pPr>
            <w:r>
              <w:rPr>
                <w:rStyle w:val="Emphasis"/>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665"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jc w:val="left"/>
            </w:pPr>
            <w:r>
              <w:t> </w:t>
            </w:r>
          </w:p>
        </w:tc>
        <w:tc>
          <w:tcPr>
            <w:tcW w:w="785"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2" w:type="dxa"/>
            <w:tcBorders/>
            <w:shd w:fill="CCEEFF" w:val="clear"/>
            <w:vAlign w:val="center"/>
          </w:tcPr>
          <w:p>
            <w:pPr>
              <w:pStyle w:val="TableContents"/>
              <w:bidi w:val="0"/>
              <w:spacing w:before="0" w:after="283"/>
              <w:jc w:val="left"/>
            </w:pPr>
            <w:r>
              <w:t> </w:t>
            </w:r>
          </w:p>
        </w:tc>
        <w:tc>
          <w:tcPr>
            <w:tcW w:w="966" w:type="dxa"/>
            <w:tcBorders/>
            <w:shd w:fill="CCEEFF" w:val="clear"/>
            <w:vAlign w:val="center"/>
          </w:tcPr>
          <w:p>
            <w:pPr>
              <w:pStyle w:val="TableContents"/>
              <w:bidi w:val="0"/>
              <w:spacing w:before="0" w:after="283"/>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jc w:val="left"/>
            </w:pPr>
            <w:r>
              <w:t> </w:t>
            </w:r>
          </w:p>
        </w:tc>
        <w:tc>
          <w:tcPr>
            <w:tcW w:w="80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8,778</w:t>
            </w:r>
          </w:p>
        </w:tc>
        <w:tc>
          <w:tcPr>
            <w:tcW w:w="84" w:type="dxa"/>
            <w:tcBorders/>
            <w:shd w:fill="CCEEFF" w:val="clear"/>
            <w:vAlign w:val="center"/>
          </w:tcPr>
          <w:p>
            <w:pPr>
              <w:pStyle w:val="TableContents"/>
              <w:bidi w:val="0"/>
              <w:spacing w:before="0" w:after="283"/>
              <w:jc w:val="left"/>
            </w:pPr>
            <w:r>
              <w:t> </w:t>
            </w:r>
          </w:p>
        </w:tc>
      </w:tr>
      <w:tr>
        <w:tc>
          <w:tcPr>
            <w:tcW w:w="27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Comprehensive income</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6,841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7,096</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79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September 30, 2026</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42,239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641,281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(177,433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(78,725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(2,121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383,008</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2786"/>
        <w:gridCol w:w="60"/>
        <w:gridCol w:w="60"/>
        <w:gridCol w:w="518"/>
        <w:gridCol w:w="80"/>
        <w:gridCol w:w="60"/>
        <w:gridCol w:w="170"/>
        <w:gridCol w:w="405"/>
        <w:gridCol w:w="60"/>
        <w:gridCol w:w="60"/>
        <w:gridCol w:w="116"/>
        <w:gridCol w:w="639"/>
        <w:gridCol w:w="60"/>
        <w:gridCol w:w="60"/>
        <w:gridCol w:w="60"/>
        <w:gridCol w:w="515"/>
        <w:gridCol w:w="60"/>
        <w:gridCol w:w="60"/>
        <w:gridCol w:w="110"/>
        <w:gridCol w:w="665"/>
        <w:gridCol w:w="80"/>
        <w:gridCol w:w="60"/>
        <w:gridCol w:w="150"/>
        <w:gridCol w:w="785"/>
        <w:gridCol w:w="80"/>
        <w:gridCol w:w="60"/>
        <w:gridCol w:w="252"/>
        <w:gridCol w:w="965"/>
        <w:gridCol w:w="80"/>
        <w:gridCol w:w="60"/>
        <w:gridCol w:w="145"/>
        <w:gridCol w:w="802"/>
        <w:gridCol w:w="82"/>
      </w:tblGrid>
      <w:tr>
        <w:tc>
          <w:tcPr>
            <w:tcW w:w="278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77" w:type="dxa"/>
            <w:gridSpan w:val="3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Three Months Ended September 30, 2025</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78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18"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0" w:type="dxa"/>
            <w:tcBorders/>
            <w:shd w:fill="FFFFFF" w:val="clear"/>
            <w:vAlign w:val="center"/>
          </w:tcPr>
          <w:p>
            <w:pPr>
              <w:pStyle w:val="TableContents"/>
              <w:bidi w:val="0"/>
              <w:spacing w:before="0" w:after="283"/>
              <w:jc w:val="left"/>
            </w:pPr>
            <w:r>
              <w:t> </w:t>
            </w:r>
          </w:p>
        </w:tc>
        <w:tc>
          <w:tcPr>
            <w:tcW w:w="40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Additional</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1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665"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jc w:val="left"/>
            </w:pPr>
            <w:r>
              <w:t> </w:t>
            </w:r>
          </w:p>
        </w:tc>
        <w:tc>
          <w:tcPr>
            <w:tcW w:w="785"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17"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Accumulated Other</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47"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Total</w:t>
            </w:r>
          </w:p>
        </w:tc>
        <w:tc>
          <w:tcPr>
            <w:tcW w:w="82" w:type="dxa"/>
            <w:tcBorders/>
            <w:shd w:fill="FFFFFF" w:val="clear"/>
            <w:vAlign w:val="center"/>
          </w:tcPr>
          <w:p>
            <w:pPr>
              <w:pStyle w:val="TableContents"/>
              <w:bidi w:val="0"/>
              <w:spacing w:before="0" w:after="283"/>
              <w:jc w:val="left"/>
            </w:pPr>
            <w:r>
              <w:t> </w:t>
            </w:r>
          </w:p>
        </w:tc>
      </w:tr>
      <w:tr>
        <w:tc>
          <w:tcPr>
            <w:tcW w:w="278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9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Paid-In</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Treasury Stock</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3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Accumulated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17"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Comprehensive</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47"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Stockholders’</w:t>
            </w:r>
          </w:p>
        </w:tc>
        <w:tc>
          <w:tcPr>
            <w:tcW w:w="82" w:type="dxa"/>
            <w:tcBorders/>
            <w:shd w:fill="FFFFFF" w:val="clear"/>
            <w:vAlign w:val="center"/>
          </w:tcPr>
          <w:p>
            <w:pPr>
              <w:pStyle w:val="TableContents"/>
              <w:bidi w:val="0"/>
              <w:spacing w:before="0" w:after="283"/>
              <w:jc w:val="left"/>
            </w:pPr>
            <w:r>
              <w:t> </w:t>
            </w:r>
          </w:p>
        </w:tc>
      </w:tr>
      <w:tr>
        <w:tc>
          <w:tcPr>
            <w:tcW w:w="278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Equity</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78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June 30, 2025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39,163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518,055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12,051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(162,887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(95,874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(1,780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257,520</w:t>
            </w:r>
          </w:p>
        </w:tc>
        <w:tc>
          <w:tcPr>
            <w:tcW w:w="82" w:type="dxa"/>
            <w:tcBorders/>
            <w:shd w:fill="CCEEFF" w:val="clear"/>
            <w:vAlign w:val="center"/>
          </w:tcPr>
          <w:p>
            <w:pPr>
              <w:pStyle w:val="TableContents"/>
              <w:bidi w:val="0"/>
              <w:spacing w:before="0" w:after="283"/>
              <w:jc w:val="left"/>
            </w:pPr>
            <w:r>
              <w:t> </w:t>
            </w:r>
          </w:p>
        </w:tc>
      </w:tr>
      <w:tr>
        <w:tc>
          <w:tcPr>
            <w:tcW w:w="27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under equity plans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0" w:type="dxa"/>
            <w:tcBorders/>
            <w:shd w:fill="FFFFFF" w:val="clear"/>
            <w:vAlign w:val="center"/>
          </w:tcPr>
          <w:p>
            <w:pPr>
              <w:pStyle w:val="TableContents"/>
              <w:bidi w:val="0"/>
              <w:spacing w:before="0" w:after="283"/>
              <w:ind w:left="0" w:right="0" w:hanging="0"/>
              <w:jc w:val="left"/>
            </w:pPr>
            <w:r>
              <w:t> </w:t>
            </w:r>
          </w:p>
        </w:tc>
        <w:tc>
          <w:tcPr>
            <w:tcW w:w="40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2,088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78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2" w:type="dxa"/>
            <w:tcBorders/>
            <w:shd w:fill="FFFFFF" w:val="clear"/>
            <w:vAlign w:val="center"/>
          </w:tcPr>
          <w:p>
            <w:pPr>
              <w:pStyle w:val="TableContents"/>
              <w:bidi w:val="0"/>
              <w:spacing w:before="0" w:after="283"/>
              <w:ind w:left="0" w:right="0" w:hanging="0"/>
              <w:jc w:val="left"/>
            </w:pPr>
            <w:r>
              <w:t> </w:t>
            </w:r>
          </w:p>
        </w:tc>
        <w:tc>
          <w:tcPr>
            <w:tcW w:w="9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ind w:left="0" w:right="0" w:hanging="0"/>
              <w:jc w:val="left"/>
            </w:pPr>
            <w: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2,088</w:t>
            </w:r>
          </w:p>
        </w:tc>
        <w:tc>
          <w:tcPr>
            <w:tcW w:w="82" w:type="dxa"/>
            <w:tcBorders/>
            <w:shd w:fill="FFFFFF" w:val="clear"/>
            <w:vAlign w:val="center"/>
          </w:tcPr>
          <w:p>
            <w:pPr>
              <w:pStyle w:val="TableContents"/>
              <w:bidi w:val="0"/>
              <w:spacing w:before="0" w:after="283"/>
              <w:jc w:val="left"/>
            </w:pPr>
            <w:r>
              <w:t> </w:t>
            </w:r>
          </w:p>
        </w:tc>
      </w:tr>
      <w:tr>
        <w:tc>
          <w:tcPr>
            <w:tcW w:w="27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withheld for taxes related to shares issued under equity plans</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8"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ind w:left="0" w:right="0" w:hanging="0"/>
              <w:jc w:val="left"/>
            </w:pPr>
            <w:r>
              <w:t> </w:t>
            </w:r>
          </w:p>
        </w:tc>
        <w:tc>
          <w:tcPr>
            <w:tcW w:w="40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(2,411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78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2" w:type="dxa"/>
            <w:tcBorders/>
            <w:shd w:fill="CCEEFF" w:val="clear"/>
            <w:vAlign w:val="center"/>
          </w:tcPr>
          <w:p>
            <w:pPr>
              <w:pStyle w:val="TableContents"/>
              <w:bidi w:val="0"/>
              <w:spacing w:before="0" w:after="283"/>
              <w:ind w:left="0" w:right="0" w:hanging="0"/>
              <w:jc w:val="left"/>
            </w:pPr>
            <w:r>
              <w:t> </w:t>
            </w:r>
          </w:p>
        </w:tc>
        <w:tc>
          <w:tcPr>
            <w:tcW w:w="9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ind w:left="0" w:right="0" w:hanging="0"/>
              <w:jc w:val="left"/>
            </w:pPr>
            <w: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(2,411</w:t>
            </w:r>
          </w:p>
        </w:tc>
        <w:tc>
          <w:tcPr>
            <w:tcW w:w="8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27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Repurchase of common stock</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70" w:type="dxa"/>
            <w:tcBorders/>
            <w:shd w:fill="FFFFFF" w:val="clear"/>
            <w:vAlign w:val="center"/>
          </w:tcPr>
          <w:p>
            <w:pPr>
              <w:pStyle w:val="TableContents"/>
              <w:bidi w:val="0"/>
              <w:spacing w:before="0" w:after="283"/>
              <w:ind w:left="0" w:right="0" w:hanging="0"/>
              <w:jc w:val="left"/>
            </w:pPr>
            <w:r>
              <w:t> </w:t>
            </w:r>
          </w:p>
        </w:tc>
        <w:tc>
          <w:tcPr>
            <w:tcW w:w="40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78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2" w:type="dxa"/>
            <w:tcBorders/>
            <w:shd w:fill="FFFFFF" w:val="clear"/>
            <w:vAlign w:val="center"/>
          </w:tcPr>
          <w:p>
            <w:pPr>
              <w:pStyle w:val="TableContents"/>
              <w:bidi w:val="0"/>
              <w:spacing w:before="0" w:after="283"/>
              <w:ind w:left="0" w:right="0" w:hanging="0"/>
              <w:jc w:val="left"/>
            </w:pPr>
            <w:r>
              <w:t> </w:t>
            </w:r>
          </w:p>
        </w:tc>
        <w:tc>
          <w:tcPr>
            <w:tcW w:w="9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ind w:left="0" w:right="0" w:hanging="0"/>
              <w:jc w:val="left"/>
            </w:pPr>
            <w: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(244</w:t>
            </w:r>
          </w:p>
        </w:tc>
        <w:tc>
          <w:tcPr>
            <w:tcW w:w="82"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27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expense</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8" w:type="dxa"/>
            <w:tcBorders/>
            <w:shd w:fill="CCEEFF" w:val="clear"/>
            <w:vAlign w:val="center"/>
          </w:tcPr>
          <w:p>
            <w:pPr>
              <w:pStyle w:val="TableContents"/>
              <w:bidi w:val="0"/>
              <w:spacing w:before="0" w:after="283"/>
              <w:ind w:left="0" w:right="0" w:hanging="0"/>
              <w:jc w:val="right"/>
            </w:pPr>
            <w:r>
              <w:rPr>
                <w:rStyle w:val="Emphasis"/>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ind w:left="0" w:right="0" w:hanging="0"/>
              <w:jc w:val="left"/>
            </w:pPr>
            <w:r>
              <w:t> </w:t>
            </w:r>
          </w:p>
        </w:tc>
        <w:tc>
          <w:tcPr>
            <w:tcW w:w="40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6,383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rPr>
                <w:rStyle w:val="Emphasis"/>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78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2" w:type="dxa"/>
            <w:tcBorders/>
            <w:shd w:fill="CCEEFF" w:val="clear"/>
            <w:vAlign w:val="center"/>
          </w:tcPr>
          <w:p>
            <w:pPr>
              <w:pStyle w:val="TableContents"/>
              <w:bidi w:val="0"/>
              <w:spacing w:before="0" w:after="283"/>
              <w:ind w:left="0" w:right="0" w:hanging="0"/>
              <w:jc w:val="left"/>
            </w:pPr>
            <w:r>
              <w:t> </w:t>
            </w:r>
          </w:p>
        </w:tc>
        <w:tc>
          <w:tcPr>
            <w:tcW w:w="9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ind w:left="0" w:right="0" w:hanging="0"/>
              <w:jc w:val="left"/>
            </w:pPr>
            <w: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6,383</w:t>
            </w:r>
          </w:p>
        </w:tc>
        <w:tc>
          <w:tcPr>
            <w:tcW w:w="82" w:type="dxa"/>
            <w:tcBorders/>
            <w:shd w:fill="CCEEFF" w:val="clear"/>
            <w:vAlign w:val="center"/>
          </w:tcPr>
          <w:p>
            <w:pPr>
              <w:pStyle w:val="TableContents"/>
              <w:bidi w:val="0"/>
              <w:spacing w:before="0" w:after="283"/>
              <w:jc w:val="left"/>
            </w:pPr>
            <w:r>
              <w:t> </w:t>
            </w:r>
          </w:p>
        </w:tc>
      </w:tr>
      <w:tr>
        <w:tc>
          <w:tcPr>
            <w:tcW w:w="27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Comprehensive income (loss)</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1,046</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78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September 30, 2025</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39,507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526,526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12,175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(165,542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(94,580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264,382</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i/>
          <w:caps w:val="false"/>
          <w:smallCaps w:val="false"/>
          <w:sz w:val="20"/>
        </w:rPr>
        <w:t>See accompanying</w:t>
      </w:r>
      <w:r>
        <w:rPr>
          <w:rFonts w:ascii="Times New Roman" w:hAnsi="Times New Roman"/>
          <w:caps w:val="false"/>
          <w:smallCaps w:val="false"/>
          <w:sz w:val="20"/>
        </w:rPr>
        <w:t> </w:t>
      </w:r>
      <w:r>
        <w:rPr>
          <w:rFonts w:ascii="Times New Roman" w:hAnsi="Times New Roman"/>
          <w:b/>
          <w:i/>
          <w:caps w:val="false"/>
          <w:smallCaps w:val="false"/>
          <w:sz w:val="20"/>
        </w:rPr>
        <w:t>Notes</w:t>
      </w:r>
      <w:r>
        <w:rPr>
          <w:rFonts w:ascii="Times New Roman" w:hAnsi="Times New Roman"/>
          <w:caps w:val="false"/>
          <w:smallCaps w:val="false"/>
          <w:sz w:val="20"/>
        </w:rPr>
        <w:t> </w:t>
      </w:r>
      <w:r>
        <w:rPr>
          <w:rFonts w:ascii="Times New Roman" w:hAnsi="Times New Roman"/>
          <w:b/>
          <w:i/>
          <w:caps w:val="false"/>
          <w:smallCaps w:val="false"/>
          <w:sz w:val="20"/>
        </w:rPr>
        <w:t>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PDF SOLUTIONS,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3"/>
        <w:gridCol w:w="60"/>
        <w:gridCol w:w="60"/>
        <w:gridCol w:w="520"/>
        <w:gridCol w:w="60"/>
        <w:gridCol w:w="60"/>
        <w:gridCol w:w="170"/>
        <w:gridCol w:w="405"/>
        <w:gridCol w:w="60"/>
        <w:gridCol w:w="60"/>
        <w:gridCol w:w="116"/>
        <w:gridCol w:w="639"/>
        <w:gridCol w:w="60"/>
        <w:gridCol w:w="60"/>
        <w:gridCol w:w="60"/>
        <w:gridCol w:w="515"/>
        <w:gridCol w:w="60"/>
        <w:gridCol w:w="60"/>
        <w:gridCol w:w="110"/>
        <w:gridCol w:w="665"/>
        <w:gridCol w:w="80"/>
        <w:gridCol w:w="60"/>
        <w:gridCol w:w="150"/>
        <w:gridCol w:w="785"/>
        <w:gridCol w:w="80"/>
        <w:gridCol w:w="60"/>
        <w:gridCol w:w="252"/>
        <w:gridCol w:w="931"/>
        <w:gridCol w:w="80"/>
        <w:gridCol w:w="60"/>
        <w:gridCol w:w="144"/>
        <w:gridCol w:w="796"/>
        <w:gridCol w:w="84"/>
      </w:tblGrid>
      <w:tr>
        <w:tc>
          <w:tcPr>
            <w:tcW w:w="284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18" w:type="dxa"/>
            <w:gridSpan w:val="3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Nine Months Ended September 30, 2026</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84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20"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0" w:type="dxa"/>
            <w:tcBorders/>
            <w:shd w:fill="FFFFFF" w:val="clear"/>
            <w:vAlign w:val="center"/>
          </w:tcPr>
          <w:p>
            <w:pPr>
              <w:pStyle w:val="TableContents"/>
              <w:bidi w:val="0"/>
              <w:spacing w:before="0" w:after="283"/>
              <w:jc w:val="left"/>
            </w:pPr>
            <w:r>
              <w:t> </w:t>
            </w:r>
          </w:p>
        </w:tc>
        <w:tc>
          <w:tcPr>
            <w:tcW w:w="40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Additional</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1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665"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jc w:val="left"/>
            </w:pPr>
            <w:r>
              <w:t> </w:t>
            </w:r>
          </w:p>
        </w:tc>
        <w:tc>
          <w:tcPr>
            <w:tcW w:w="785"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3"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Accumulated Other</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4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Total</w:t>
            </w:r>
          </w:p>
        </w:tc>
        <w:tc>
          <w:tcPr>
            <w:tcW w:w="84" w:type="dxa"/>
            <w:tcBorders/>
            <w:shd w:fill="FFFFFF" w:val="clear"/>
            <w:vAlign w:val="center"/>
          </w:tcPr>
          <w:p>
            <w:pPr>
              <w:pStyle w:val="TableContents"/>
              <w:bidi w:val="0"/>
              <w:spacing w:before="0" w:after="283"/>
              <w:jc w:val="left"/>
            </w:pPr>
            <w:r>
              <w:t> </w:t>
            </w:r>
          </w:p>
        </w:tc>
      </w:tr>
      <w:tr>
        <w:tc>
          <w:tcPr>
            <w:tcW w:w="284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Paid-In</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Treasury Stock</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3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Accumulated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3"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Comprehensive</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4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Stockholders’</w:t>
            </w:r>
          </w:p>
        </w:tc>
        <w:tc>
          <w:tcPr>
            <w:tcW w:w="84" w:type="dxa"/>
            <w:tcBorders/>
            <w:shd w:fill="FFFFFF" w:val="clear"/>
            <w:vAlign w:val="center"/>
          </w:tcPr>
          <w:p>
            <w:pPr>
              <w:pStyle w:val="TableContents"/>
              <w:bidi w:val="0"/>
              <w:spacing w:before="0" w:after="283"/>
              <w:jc w:val="left"/>
            </w:pPr>
            <w:r>
              <w:t> </w:t>
            </w:r>
          </w:p>
        </w:tc>
      </w:tr>
      <w:tr>
        <w:tc>
          <w:tcPr>
            <w:tcW w:w="284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Equity</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84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December 31, 2025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2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39,541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533,503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12,185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(165,808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(94,628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271,022</w:t>
            </w:r>
          </w:p>
        </w:tc>
        <w:tc>
          <w:tcPr>
            <w:tcW w:w="84" w:type="dxa"/>
            <w:tcBorders/>
            <w:shd w:fill="CCEEFF" w:val="clear"/>
            <w:vAlign w:val="center"/>
          </w:tcPr>
          <w:p>
            <w:pPr>
              <w:pStyle w:val="TableContents"/>
              <w:bidi w:val="0"/>
              <w:spacing w:before="0" w:after="283"/>
              <w:jc w:val="left"/>
            </w:pPr>
            <w:r>
              <w:t> </w:t>
            </w:r>
          </w:p>
        </w:tc>
      </w:tr>
      <w:tr>
        <w:tc>
          <w:tcPr>
            <w:tcW w:w="2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under equity plans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0" w:type="dxa"/>
            <w:tcBorders/>
            <w:shd w:fill="FFFFFF" w:val="clear"/>
            <w:vAlign w:val="center"/>
          </w:tcPr>
          <w:p>
            <w:pPr>
              <w:pStyle w:val="TableContents"/>
              <w:bidi w:val="0"/>
              <w:spacing w:before="0" w:after="283"/>
              <w:ind w:left="0" w:right="0" w:hanging="0"/>
              <w:jc w:val="left"/>
            </w:pPr>
            <w:r>
              <w:t> </w:t>
            </w:r>
          </w:p>
        </w:tc>
        <w:tc>
          <w:tcPr>
            <w:tcW w:w="40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4,431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78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2" w:type="dxa"/>
            <w:tcBorders/>
            <w:shd w:fill="FFFFFF" w:val="clear"/>
            <w:vAlign w:val="center"/>
          </w:tcPr>
          <w:p>
            <w:pPr>
              <w:pStyle w:val="TableContents"/>
              <w:bidi w:val="0"/>
              <w:spacing w:before="0" w:after="283"/>
              <w:ind w:left="0" w:right="0" w:hanging="0"/>
              <w:jc w:val="left"/>
            </w:pPr>
            <w:r>
              <w:t> </w:t>
            </w:r>
          </w:p>
        </w:tc>
        <w:tc>
          <w:tcPr>
            <w:tcW w:w="931"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ind w:left="0" w:right="0" w:hanging="0"/>
              <w:jc w:val="left"/>
            </w:pPr>
            <w: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4,431</w:t>
            </w:r>
          </w:p>
        </w:tc>
        <w:tc>
          <w:tcPr>
            <w:tcW w:w="84" w:type="dxa"/>
            <w:tcBorders/>
            <w:shd w:fill="FFFFFF" w:val="clear"/>
            <w:vAlign w:val="center"/>
          </w:tcPr>
          <w:p>
            <w:pPr>
              <w:pStyle w:val="TableContents"/>
              <w:bidi w:val="0"/>
              <w:spacing w:before="0" w:after="283"/>
              <w:jc w:val="left"/>
            </w:pPr>
            <w:r>
              <w:t> </w:t>
            </w:r>
          </w:p>
        </w:tc>
      </w:tr>
      <w:tr>
        <w:tc>
          <w:tcPr>
            <w:tcW w:w="28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withheld for taxes related to shares issued under equity plans</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20"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ind w:left="0" w:right="0" w:hanging="0"/>
              <w:jc w:val="left"/>
            </w:pPr>
            <w:r>
              <w:t> </w:t>
            </w:r>
          </w:p>
        </w:tc>
        <w:tc>
          <w:tcPr>
            <w:tcW w:w="40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(11,625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78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2" w:type="dxa"/>
            <w:tcBorders/>
            <w:shd w:fill="CCEEFF" w:val="clear"/>
            <w:vAlign w:val="center"/>
          </w:tcPr>
          <w:p>
            <w:pPr>
              <w:pStyle w:val="TableContents"/>
              <w:bidi w:val="0"/>
              <w:spacing w:before="0" w:after="283"/>
              <w:ind w:left="0" w:right="0" w:hanging="0"/>
              <w:jc w:val="left"/>
            </w:pPr>
            <w:r>
              <w:t> </w:t>
            </w:r>
          </w:p>
        </w:tc>
        <w:tc>
          <w:tcPr>
            <w:tcW w:w="931"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ind w:left="0" w:right="0" w:hanging="0"/>
              <w:jc w:val="left"/>
            </w:pPr>
            <w: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(11,625</w:t>
            </w:r>
          </w:p>
        </w:tc>
        <w:tc>
          <w:tcPr>
            <w:tcW w:w="8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2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under secondary offering, net of underwriting discounts and commissions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2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1,947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0" w:type="dxa"/>
            <w:tcBorders/>
            <w:shd w:fill="FFFFFF" w:val="clear"/>
            <w:vAlign w:val="center"/>
          </w:tcPr>
          <w:p>
            <w:pPr>
              <w:pStyle w:val="TableContents"/>
              <w:bidi w:val="0"/>
              <w:spacing w:before="0" w:after="283"/>
              <w:ind w:left="0" w:right="0" w:hanging="0"/>
              <w:jc w:val="left"/>
            </w:pPr>
            <w:r>
              <w:t> </w:t>
            </w:r>
          </w:p>
        </w:tc>
        <w:tc>
          <w:tcPr>
            <w:tcW w:w="40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81,791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pPr>
            <w:r>
              <w:rPr>
                <w:rStyle w:val="Emphasis"/>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rPr>
                <w:rStyle w:val="Emphasis"/>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78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2" w:type="dxa"/>
            <w:tcBorders/>
            <w:shd w:fill="FFFFFF" w:val="clear"/>
            <w:vAlign w:val="center"/>
          </w:tcPr>
          <w:p>
            <w:pPr>
              <w:pStyle w:val="TableContents"/>
              <w:bidi w:val="0"/>
              <w:spacing w:before="0" w:after="283"/>
              <w:ind w:left="0" w:right="0" w:hanging="0"/>
              <w:jc w:val="left"/>
            </w:pPr>
            <w:r>
              <w:t> </w:t>
            </w:r>
          </w:p>
        </w:tc>
        <w:tc>
          <w:tcPr>
            <w:tcW w:w="931"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4" w:type="dxa"/>
            <w:tcBorders/>
            <w:shd w:fill="FFFFFF" w:val="clear"/>
            <w:vAlign w:val="center"/>
          </w:tcPr>
          <w:p>
            <w:pPr>
              <w:pStyle w:val="TableContents"/>
              <w:bidi w:val="0"/>
              <w:spacing w:before="0" w:after="283"/>
              <w:ind w:left="0" w:right="0" w:hanging="0"/>
              <w:jc w:val="left"/>
            </w:pPr>
            <w: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81,791</w:t>
            </w:r>
          </w:p>
        </w:tc>
        <w:tc>
          <w:tcPr>
            <w:tcW w:w="84" w:type="dxa"/>
            <w:tcBorders/>
            <w:shd w:fill="FFFFFF" w:val="clear"/>
            <w:vAlign w:val="center"/>
          </w:tcPr>
          <w:p>
            <w:pPr>
              <w:pStyle w:val="TableContents"/>
              <w:bidi w:val="0"/>
              <w:spacing w:before="0" w:after="283"/>
              <w:jc w:val="left"/>
            </w:pPr>
            <w:r>
              <w:t> </w:t>
            </w:r>
          </w:p>
        </w:tc>
      </w:tr>
      <w:tr>
        <w:tc>
          <w:tcPr>
            <w:tcW w:w="28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expense</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20" w:type="dxa"/>
            <w:tcBorders/>
            <w:shd w:fill="CCEEFF" w:val="clear"/>
            <w:vAlign w:val="center"/>
          </w:tcPr>
          <w:p>
            <w:pPr>
              <w:pStyle w:val="TableContents"/>
              <w:bidi w:val="0"/>
              <w:spacing w:before="0" w:after="283"/>
              <w:ind w:left="0" w:right="0" w:hanging="0"/>
              <w:jc w:val="right"/>
            </w:pPr>
            <w:r>
              <w:rPr>
                <w:rStyle w:val="Emphasis"/>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ind w:left="0" w:right="0" w:hanging="0"/>
              <w:jc w:val="left"/>
            </w:pPr>
            <w:r>
              <w:t> </w:t>
            </w:r>
          </w:p>
        </w:tc>
        <w:tc>
          <w:tcPr>
            <w:tcW w:w="40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21,556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rPr>
                <w:rStyle w:val="Emphasis"/>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78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2" w:type="dxa"/>
            <w:tcBorders/>
            <w:shd w:fill="CCEEFF" w:val="clear"/>
            <w:vAlign w:val="center"/>
          </w:tcPr>
          <w:p>
            <w:pPr>
              <w:pStyle w:val="TableContents"/>
              <w:bidi w:val="0"/>
              <w:spacing w:before="0" w:after="283"/>
              <w:ind w:left="0" w:right="0" w:hanging="0"/>
              <w:jc w:val="left"/>
            </w:pPr>
            <w:r>
              <w:t> </w:t>
            </w:r>
          </w:p>
        </w:tc>
        <w:tc>
          <w:tcPr>
            <w:tcW w:w="931"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4" w:type="dxa"/>
            <w:tcBorders/>
            <w:shd w:fill="CCEEFF" w:val="clear"/>
            <w:vAlign w:val="center"/>
          </w:tcPr>
          <w:p>
            <w:pPr>
              <w:pStyle w:val="TableContents"/>
              <w:bidi w:val="0"/>
              <w:spacing w:before="0" w:after="283"/>
              <w:ind w:left="0" w:right="0" w:hanging="0"/>
              <w:jc w:val="left"/>
            </w:pPr>
            <w: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21,556</w:t>
            </w:r>
          </w:p>
        </w:tc>
        <w:tc>
          <w:tcPr>
            <w:tcW w:w="84" w:type="dxa"/>
            <w:tcBorders/>
            <w:shd w:fill="CCEEFF" w:val="clear"/>
            <w:vAlign w:val="center"/>
          </w:tcPr>
          <w:p>
            <w:pPr>
              <w:pStyle w:val="TableContents"/>
              <w:bidi w:val="0"/>
              <w:spacing w:before="0" w:after="283"/>
              <w:jc w:val="left"/>
            </w:pPr>
            <w:r>
              <w:t> </w:t>
            </w:r>
          </w:p>
        </w:tc>
      </w:tr>
      <w:tr>
        <w:tc>
          <w:tcPr>
            <w:tcW w:w="2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Comprehensive income (loss)</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15,903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15,833</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84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September 30, 2026</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42,239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641,281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(177,433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(78,725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(2,121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383,008</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2786"/>
        <w:gridCol w:w="60"/>
        <w:gridCol w:w="60"/>
        <w:gridCol w:w="518"/>
        <w:gridCol w:w="80"/>
        <w:gridCol w:w="60"/>
        <w:gridCol w:w="170"/>
        <w:gridCol w:w="405"/>
        <w:gridCol w:w="60"/>
        <w:gridCol w:w="60"/>
        <w:gridCol w:w="116"/>
        <w:gridCol w:w="639"/>
        <w:gridCol w:w="60"/>
        <w:gridCol w:w="60"/>
        <w:gridCol w:w="60"/>
        <w:gridCol w:w="515"/>
        <w:gridCol w:w="60"/>
        <w:gridCol w:w="60"/>
        <w:gridCol w:w="110"/>
        <w:gridCol w:w="665"/>
        <w:gridCol w:w="80"/>
        <w:gridCol w:w="60"/>
        <w:gridCol w:w="150"/>
        <w:gridCol w:w="785"/>
        <w:gridCol w:w="80"/>
        <w:gridCol w:w="60"/>
        <w:gridCol w:w="252"/>
        <w:gridCol w:w="965"/>
        <w:gridCol w:w="80"/>
        <w:gridCol w:w="60"/>
        <w:gridCol w:w="145"/>
        <w:gridCol w:w="802"/>
        <w:gridCol w:w="82"/>
      </w:tblGrid>
      <w:tr>
        <w:tc>
          <w:tcPr>
            <w:tcW w:w="278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277" w:type="dxa"/>
            <w:gridSpan w:val="3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Nine Months Ended September 30, 2025</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78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18"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0" w:type="dxa"/>
            <w:tcBorders/>
            <w:shd w:fill="FFFFFF" w:val="clear"/>
            <w:vAlign w:val="center"/>
          </w:tcPr>
          <w:p>
            <w:pPr>
              <w:pStyle w:val="TableContents"/>
              <w:bidi w:val="0"/>
              <w:spacing w:before="0" w:after="283"/>
              <w:jc w:val="left"/>
            </w:pPr>
            <w:r>
              <w:t> </w:t>
            </w:r>
          </w:p>
        </w:tc>
        <w:tc>
          <w:tcPr>
            <w:tcW w:w="40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Additional</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1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665"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jc w:val="left"/>
            </w:pPr>
            <w:r>
              <w:t> </w:t>
            </w:r>
          </w:p>
        </w:tc>
        <w:tc>
          <w:tcPr>
            <w:tcW w:w="785"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17"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Accumulated Other</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47"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Total</w:t>
            </w:r>
          </w:p>
        </w:tc>
        <w:tc>
          <w:tcPr>
            <w:tcW w:w="82" w:type="dxa"/>
            <w:tcBorders/>
            <w:shd w:fill="FFFFFF" w:val="clear"/>
            <w:vAlign w:val="center"/>
          </w:tcPr>
          <w:p>
            <w:pPr>
              <w:pStyle w:val="TableContents"/>
              <w:bidi w:val="0"/>
              <w:spacing w:before="0" w:after="283"/>
              <w:jc w:val="left"/>
            </w:pPr>
            <w:r>
              <w:t> </w:t>
            </w:r>
          </w:p>
        </w:tc>
      </w:tr>
      <w:tr>
        <w:tc>
          <w:tcPr>
            <w:tcW w:w="278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9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Paid-In</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4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Treasury Stock</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3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Accumulated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17"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Comprehensive</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47"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Stockholders’</w:t>
            </w:r>
          </w:p>
        </w:tc>
        <w:tc>
          <w:tcPr>
            <w:tcW w:w="82" w:type="dxa"/>
            <w:tcBorders/>
            <w:shd w:fill="FFFFFF" w:val="clear"/>
            <w:vAlign w:val="center"/>
          </w:tcPr>
          <w:p>
            <w:pPr>
              <w:pStyle w:val="TableContents"/>
              <w:bidi w:val="0"/>
              <w:spacing w:before="0" w:after="283"/>
              <w:jc w:val="left"/>
            </w:pPr>
            <w:r>
              <w:t> </w:t>
            </w:r>
          </w:p>
        </w:tc>
      </w:tr>
      <w:tr>
        <w:tc>
          <w:tcPr>
            <w:tcW w:w="278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Income (Loss)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6"/>
              </w:rPr>
              <w:t>Equity</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78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December 31, 2024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38,801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502,902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11,916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(159,352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(93,988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(3,531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246,037</w:t>
            </w:r>
          </w:p>
        </w:tc>
        <w:tc>
          <w:tcPr>
            <w:tcW w:w="82" w:type="dxa"/>
            <w:tcBorders/>
            <w:shd w:fill="CCEEFF" w:val="clear"/>
            <w:vAlign w:val="center"/>
          </w:tcPr>
          <w:p>
            <w:pPr>
              <w:pStyle w:val="TableContents"/>
              <w:bidi w:val="0"/>
              <w:spacing w:before="0" w:after="283"/>
              <w:jc w:val="left"/>
            </w:pPr>
            <w:r>
              <w:t> </w:t>
            </w:r>
          </w:p>
        </w:tc>
      </w:tr>
      <w:tr>
        <w:tc>
          <w:tcPr>
            <w:tcW w:w="27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issued under equity plans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0" w:type="dxa"/>
            <w:tcBorders/>
            <w:shd w:fill="FFFFFF" w:val="clear"/>
            <w:vAlign w:val="center"/>
          </w:tcPr>
          <w:p>
            <w:pPr>
              <w:pStyle w:val="TableContents"/>
              <w:bidi w:val="0"/>
              <w:spacing w:before="0" w:after="283"/>
              <w:ind w:left="0" w:right="0" w:hanging="0"/>
              <w:jc w:val="left"/>
            </w:pPr>
            <w:r>
              <w:t> </w:t>
            </w:r>
          </w:p>
        </w:tc>
        <w:tc>
          <w:tcPr>
            <w:tcW w:w="40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4,243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78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2" w:type="dxa"/>
            <w:tcBorders/>
            <w:shd w:fill="FFFFFF" w:val="clear"/>
            <w:vAlign w:val="center"/>
          </w:tcPr>
          <w:p>
            <w:pPr>
              <w:pStyle w:val="TableContents"/>
              <w:bidi w:val="0"/>
              <w:spacing w:before="0" w:after="283"/>
              <w:ind w:left="0" w:right="0" w:hanging="0"/>
              <w:jc w:val="left"/>
            </w:pPr>
            <w:r>
              <w:t> </w:t>
            </w:r>
          </w:p>
        </w:tc>
        <w:tc>
          <w:tcPr>
            <w:tcW w:w="9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ind w:left="0" w:right="0" w:hanging="0"/>
              <w:jc w:val="left"/>
            </w:pPr>
            <w: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4,243</w:t>
            </w:r>
          </w:p>
        </w:tc>
        <w:tc>
          <w:tcPr>
            <w:tcW w:w="82" w:type="dxa"/>
            <w:tcBorders/>
            <w:shd w:fill="FFFFFF" w:val="clear"/>
            <w:vAlign w:val="center"/>
          </w:tcPr>
          <w:p>
            <w:pPr>
              <w:pStyle w:val="TableContents"/>
              <w:bidi w:val="0"/>
              <w:spacing w:before="0" w:after="283"/>
              <w:jc w:val="left"/>
            </w:pPr>
            <w:r>
              <w:t> </w:t>
            </w:r>
          </w:p>
        </w:tc>
      </w:tr>
      <w:tr>
        <w:tc>
          <w:tcPr>
            <w:tcW w:w="27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Shares withheld for taxes related to shares issued under equity plans</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8"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ind w:left="0" w:right="0" w:hanging="0"/>
              <w:jc w:val="left"/>
            </w:pPr>
            <w:r>
              <w:t> </w:t>
            </w:r>
          </w:p>
        </w:tc>
        <w:tc>
          <w:tcPr>
            <w:tcW w:w="40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(5,946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78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2" w:type="dxa"/>
            <w:tcBorders/>
            <w:shd w:fill="CCEEFF" w:val="clear"/>
            <w:vAlign w:val="center"/>
          </w:tcPr>
          <w:p>
            <w:pPr>
              <w:pStyle w:val="TableContents"/>
              <w:bidi w:val="0"/>
              <w:spacing w:before="0" w:after="283"/>
              <w:ind w:left="0" w:right="0" w:hanging="0"/>
              <w:jc w:val="left"/>
            </w:pPr>
            <w:r>
              <w:t> </w:t>
            </w:r>
          </w:p>
        </w:tc>
        <w:tc>
          <w:tcPr>
            <w:tcW w:w="9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ind w:left="0" w:right="0" w:hanging="0"/>
              <w:jc w:val="left"/>
            </w:pPr>
            <w: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(5,946</w:t>
            </w:r>
          </w:p>
        </w:tc>
        <w:tc>
          <w:tcPr>
            <w:tcW w:w="8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27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Repurchase of common stock</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1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70" w:type="dxa"/>
            <w:tcBorders/>
            <w:shd w:fill="FFFFFF" w:val="clear"/>
            <w:vAlign w:val="center"/>
          </w:tcPr>
          <w:p>
            <w:pPr>
              <w:pStyle w:val="TableContents"/>
              <w:bidi w:val="0"/>
              <w:spacing w:before="0" w:after="283"/>
              <w:jc w:val="left"/>
            </w:pPr>
            <w:r>
              <w:t> </w:t>
            </w:r>
          </w:p>
        </w:tc>
        <w:tc>
          <w:tcPr>
            <w:tcW w:w="405"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jc w:val="left"/>
            </w:pPr>
            <w:r>
              <w:t> </w:t>
            </w:r>
          </w:p>
        </w:tc>
        <w:tc>
          <w:tcPr>
            <w:tcW w:w="639" w:type="dxa"/>
            <w:tcBorders/>
            <w:shd w:fill="FFFFFF" w:val="clear"/>
            <w:vAlign w:val="center"/>
          </w:tcPr>
          <w:p>
            <w:pPr>
              <w:pStyle w:val="TableContents"/>
              <w:bidi w:val="0"/>
              <w:spacing w:before="0" w:after="283"/>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jc w:val="left"/>
            </w:pPr>
            <w:r>
              <w:t> </w:t>
            </w:r>
          </w:p>
        </w:tc>
        <w:tc>
          <w:tcPr>
            <w:tcW w:w="785"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52" w:type="dxa"/>
            <w:tcBorders/>
            <w:shd w:fill="FFFFFF" w:val="clear"/>
            <w:vAlign w:val="center"/>
          </w:tcPr>
          <w:p>
            <w:pPr>
              <w:pStyle w:val="TableContents"/>
              <w:bidi w:val="0"/>
              <w:spacing w:before="0" w:after="283"/>
              <w:jc w:val="left"/>
            </w:pPr>
            <w:r>
              <w:t> </w:t>
            </w:r>
          </w:p>
        </w:tc>
        <w:tc>
          <w:tcPr>
            <w:tcW w:w="965" w:type="dxa"/>
            <w:tcBorders/>
            <w:shd w:fill="FFFFFF" w:val="clear"/>
            <w:vAlign w:val="center"/>
          </w:tcPr>
          <w:p>
            <w:pPr>
              <w:pStyle w:val="TableContents"/>
              <w:bidi w:val="0"/>
              <w:spacing w:before="0" w:after="283"/>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shd w:fill="FFFFFF" w:val="clear"/>
            <w:vAlign w:val="center"/>
          </w:tcPr>
          <w:p>
            <w:pPr>
              <w:pStyle w:val="TableContents"/>
              <w:bidi w:val="0"/>
              <w:spacing w:before="0" w:after="283"/>
              <w:jc w:val="left"/>
            </w:pPr>
            <w:r>
              <w:t> </w:t>
            </w:r>
          </w:p>
        </w:tc>
        <w:tc>
          <w:tcPr>
            <w:tcW w:w="80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(244</w:t>
            </w:r>
          </w:p>
        </w:tc>
        <w:tc>
          <w:tcPr>
            <w:tcW w:w="82"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27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expense</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8" w:type="dxa"/>
            <w:tcBorders/>
            <w:shd w:fill="CCEEFF" w:val="clear"/>
            <w:vAlign w:val="center"/>
          </w:tcPr>
          <w:p>
            <w:pPr>
              <w:pStyle w:val="TableContents"/>
              <w:bidi w:val="0"/>
              <w:spacing w:before="0" w:after="283"/>
              <w:ind w:left="0" w:right="0" w:hanging="0"/>
              <w:jc w:val="right"/>
            </w:pPr>
            <w:r>
              <w:rPr>
                <w:rStyle w:val="Emphasis"/>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0" w:type="dxa"/>
            <w:tcBorders/>
            <w:shd w:fill="CCEEFF" w:val="clear"/>
            <w:vAlign w:val="center"/>
          </w:tcPr>
          <w:p>
            <w:pPr>
              <w:pStyle w:val="TableContents"/>
              <w:bidi w:val="0"/>
              <w:spacing w:before="0" w:after="283"/>
              <w:ind w:left="0" w:right="0" w:hanging="0"/>
              <w:jc w:val="left"/>
            </w:pPr>
            <w:r>
              <w:t> </w:t>
            </w:r>
          </w:p>
        </w:tc>
        <w:tc>
          <w:tcPr>
            <w:tcW w:w="40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19,381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rPr>
                <w:rStyle w:val="Emphasis"/>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78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52" w:type="dxa"/>
            <w:tcBorders/>
            <w:shd w:fill="CCEEFF" w:val="clear"/>
            <w:vAlign w:val="center"/>
          </w:tcPr>
          <w:p>
            <w:pPr>
              <w:pStyle w:val="TableContents"/>
              <w:bidi w:val="0"/>
              <w:spacing w:before="0" w:after="283"/>
              <w:ind w:left="0" w:right="0" w:hanging="0"/>
              <w:jc w:val="left"/>
            </w:pPr>
            <w:r>
              <w:t> </w:t>
            </w:r>
          </w:p>
        </w:tc>
        <w:tc>
          <w:tcPr>
            <w:tcW w:w="9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45" w:type="dxa"/>
            <w:tcBorders/>
            <w:shd w:fill="CCEEFF" w:val="clear"/>
            <w:vAlign w:val="center"/>
          </w:tcPr>
          <w:p>
            <w:pPr>
              <w:pStyle w:val="TableContents"/>
              <w:bidi w:val="0"/>
              <w:spacing w:before="0" w:after="283"/>
              <w:ind w:left="0" w:right="0" w:hanging="0"/>
              <w:jc w:val="left"/>
            </w:pPr>
            <w: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19,381</w:t>
            </w:r>
          </w:p>
        </w:tc>
        <w:tc>
          <w:tcPr>
            <w:tcW w:w="82" w:type="dxa"/>
            <w:tcBorders/>
            <w:shd w:fill="CCEEFF" w:val="clear"/>
            <w:vAlign w:val="center"/>
          </w:tcPr>
          <w:p>
            <w:pPr>
              <w:pStyle w:val="TableContents"/>
              <w:bidi w:val="0"/>
              <w:spacing w:before="0" w:after="283"/>
              <w:jc w:val="left"/>
            </w:pPr>
            <w:r>
              <w:t> </w:t>
            </w:r>
          </w:p>
        </w:tc>
      </w:tr>
      <w:tr>
        <w:tc>
          <w:tcPr>
            <w:tcW w:w="27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Comprehensive income (loss)</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rPr>
                <w:rStyle w:val="Emphasis"/>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911</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78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Balances, September 30, 2025</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39,507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526,526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12,175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(165,542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(94,580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264,382</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i/>
          <w:caps w:val="false"/>
          <w:smallCaps w:val="false"/>
          <w:sz w:val="20"/>
        </w:rPr>
        <w:t>See accompanying</w:t>
      </w:r>
      <w:r>
        <w:rPr>
          <w:rFonts w:ascii="Times New Roman" w:hAnsi="Times New Roman"/>
          <w:caps w:val="false"/>
          <w:smallCaps w:val="false"/>
          <w:sz w:val="20"/>
        </w:rPr>
        <w:t> </w:t>
      </w:r>
      <w:r>
        <w:rPr>
          <w:rFonts w:ascii="Times New Roman" w:hAnsi="Times New Roman"/>
          <w:b/>
          <w:i/>
          <w:caps w:val="false"/>
          <w:smallCaps w:val="false"/>
          <w:sz w:val="20"/>
        </w:rPr>
        <w:t>Notes</w:t>
      </w:r>
      <w:r>
        <w:rPr>
          <w:rFonts w:ascii="Times New Roman" w:hAnsi="Times New Roman"/>
          <w:caps w:val="false"/>
          <w:smallCaps w:val="false"/>
          <w:sz w:val="20"/>
        </w:rPr>
        <w:t> </w:t>
      </w:r>
      <w:r>
        <w:rPr>
          <w:rFonts w:ascii="Times New Roman" w:hAnsi="Times New Roman"/>
          <w:b/>
          <w:i/>
          <w:caps w:val="false"/>
          <w:smallCaps w:val="false"/>
          <w:sz w:val="20"/>
        </w:rPr>
        <w:t>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caps w:val="false"/>
          <w:smallCaps w:val="false"/>
          <w:sz w:val="20"/>
        </w:rPr>
      </w:pPr>
      <w:bookmarkStart w:id="8" w:name="cf"/>
      <w:bookmarkEnd w:id="8"/>
      <w:r>
        <w:rPr>
          <w:rFonts w:ascii="Times New Roman" w:hAnsi="Times New Roman"/>
          <w:b/>
          <w:caps w:val="false"/>
          <w:smallCaps w:val="false"/>
          <w:sz w:val="20"/>
        </w:rPr>
        <w:t>PDF SOLUTIONS,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02"/>
        <w:gridCol w:w="60"/>
        <w:gridCol w:w="180"/>
        <w:gridCol w:w="1006"/>
        <w:gridCol w:w="115"/>
        <w:gridCol w:w="86"/>
        <w:gridCol w:w="180"/>
        <w:gridCol w:w="1093"/>
        <w:gridCol w:w="83"/>
      </w:tblGrid>
      <w:tr>
        <w:tc>
          <w:tcPr>
            <w:tcW w:w="740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6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740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ind w:left="0" w:right="0" w:hanging="0"/>
              <w:jc w:val="left"/>
            </w:pPr>
            <w:r>
              <w:t> </w:t>
            </w:r>
          </w:p>
        </w:tc>
        <w:tc>
          <w:tcPr>
            <w:tcW w:w="12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740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1006" w:type="dxa"/>
            <w:tcBorders/>
            <w:shd w:fill="CCEEFF" w:val="clear"/>
            <w:vAlign w:val="center"/>
          </w:tcPr>
          <w:p>
            <w:pPr>
              <w:pStyle w:val="TableContents"/>
              <w:bidi w:val="0"/>
              <w:spacing w:before="0" w:after="283"/>
              <w:jc w:val="left"/>
            </w:pPr>
            <w:r>
              <w:t> </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1093"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pPr>
            <w:r>
              <w:t> </w:t>
            </w:r>
          </w:p>
        </w:tc>
        <w:tc>
          <w:tcPr>
            <w:tcW w:w="1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15,903</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ind w:left="0" w:right="0" w:hanging="0"/>
              <w:jc w:val="left"/>
            </w:pPr>
            <w:r>
              <w:t> </w:t>
            </w:r>
          </w:p>
        </w:tc>
        <w:tc>
          <w:tcPr>
            <w:tcW w:w="1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402"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(loss) to net cash provided by operating activities:</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1006" w:type="dxa"/>
            <w:tcBorders/>
            <w:shd w:fill="CCEEFF" w:val="clear"/>
            <w:vAlign w:val="center"/>
          </w:tcPr>
          <w:p>
            <w:pPr>
              <w:pStyle w:val="TableContents"/>
              <w:bidi w:val="0"/>
              <w:spacing w:before="0" w:after="283"/>
              <w:jc w:val="left"/>
            </w:pPr>
            <w:r>
              <w:t> </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1093"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40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20,866</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19,059</w:t>
            </w:r>
          </w:p>
        </w:tc>
        <w:tc>
          <w:tcPr>
            <w:tcW w:w="83" w:type="dxa"/>
            <w:tcBorders/>
            <w:shd w:fill="FFFFFF" w:val="clear"/>
            <w:vAlign w:val="center"/>
          </w:tcPr>
          <w:p>
            <w:pPr>
              <w:pStyle w:val="TableContents"/>
              <w:bidi w:val="0"/>
              <w:spacing w:before="0" w:after="283"/>
              <w:jc w:val="left"/>
            </w:pPr>
            <w:r>
              <w:t> </w:t>
            </w:r>
          </w:p>
        </w:tc>
      </w:tr>
      <w:tr>
        <w:tc>
          <w:tcPr>
            <w:tcW w:w="740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5,922</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2,637</w:t>
            </w:r>
          </w:p>
        </w:tc>
        <w:tc>
          <w:tcPr>
            <w:tcW w:w="83" w:type="dxa"/>
            <w:tcBorders/>
            <w:shd w:fill="CCEEFF" w:val="clear"/>
            <w:vAlign w:val="center"/>
          </w:tcPr>
          <w:p>
            <w:pPr>
              <w:pStyle w:val="TableContents"/>
              <w:bidi w:val="0"/>
              <w:spacing w:before="0" w:after="283"/>
              <w:jc w:val="left"/>
            </w:pPr>
            <w:r>
              <w:t> </w:t>
            </w:r>
          </w:p>
        </w:tc>
      </w:tr>
      <w:tr>
        <w:tc>
          <w:tcPr>
            <w:tcW w:w="740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 assets</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6,111</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5,189</w:t>
            </w:r>
          </w:p>
        </w:tc>
        <w:tc>
          <w:tcPr>
            <w:tcW w:w="83" w:type="dxa"/>
            <w:tcBorders/>
            <w:shd w:fill="FFFFFF" w:val="clear"/>
            <w:vAlign w:val="center"/>
          </w:tcPr>
          <w:p>
            <w:pPr>
              <w:pStyle w:val="TableContents"/>
              <w:bidi w:val="0"/>
              <w:spacing w:before="0" w:after="283"/>
              <w:jc w:val="left"/>
            </w:pPr>
            <w:r>
              <w:t> </w:t>
            </w:r>
          </w:p>
        </w:tc>
      </w:tr>
      <w:tr>
        <w:tc>
          <w:tcPr>
            <w:tcW w:w="740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costs capitalized to obtain revenue contracts</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2,217</w:t>
            </w:r>
          </w:p>
        </w:tc>
        <w:tc>
          <w:tcPr>
            <w:tcW w:w="83" w:type="dxa"/>
            <w:tcBorders/>
            <w:shd w:fill="CCEEFF" w:val="clear"/>
            <w:vAlign w:val="center"/>
          </w:tcPr>
          <w:p>
            <w:pPr>
              <w:pStyle w:val="TableContents"/>
              <w:bidi w:val="0"/>
              <w:spacing w:before="0" w:after="283"/>
              <w:jc w:val="left"/>
            </w:pPr>
            <w:r>
              <w:t> </w:t>
            </w:r>
          </w:p>
        </w:tc>
      </w:tr>
      <w:tr>
        <w:tc>
          <w:tcPr>
            <w:tcW w:w="740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accretion of discounts on short-term investments</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06" w:type="dxa"/>
            <w:tcBorders/>
            <w:shd w:fill="FFFFFF" w:val="clear"/>
            <w:vAlign w:val="center"/>
          </w:tcPr>
          <w:p>
            <w:pPr>
              <w:pStyle w:val="TableContents"/>
              <w:bidi w:val="0"/>
              <w:spacing w:before="0" w:after="283"/>
              <w:ind w:left="0" w:right="0" w:hanging="0"/>
              <w:jc w:val="right"/>
            </w:pPr>
            <w:r>
              <w:t>—</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402"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from previously written-off property and equipment</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06" w:type="dxa"/>
            <w:tcBorders/>
            <w:shd w:fill="CCEEFF" w:val="clear"/>
            <w:vAlign w:val="center"/>
          </w:tcPr>
          <w:p>
            <w:pPr>
              <w:pStyle w:val="TableContents"/>
              <w:bidi w:val="0"/>
              <w:spacing w:before="0" w:after="283"/>
              <w:ind w:left="0" w:right="0" w:hanging="0"/>
              <w:jc w:val="right"/>
            </w:pPr>
            <w:r>
              <w:t>—</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40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taxes</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3" w:type="dxa"/>
            <w:tcBorders/>
            <w:shd w:fill="FFFFFF" w:val="clear"/>
            <w:vAlign w:val="center"/>
          </w:tcPr>
          <w:p>
            <w:pPr>
              <w:pStyle w:val="TableContents"/>
              <w:bidi w:val="0"/>
              <w:spacing w:before="0" w:after="283"/>
              <w:jc w:val="left"/>
            </w:pPr>
            <w:r>
              <w:t> </w:t>
            </w:r>
          </w:p>
        </w:tc>
      </w:tr>
      <w:tr>
        <w:tc>
          <w:tcPr>
            <w:tcW w:w="740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jc w:val="left"/>
            </w:pPr>
            <w:r>
              <w:t> </w:t>
            </w:r>
          </w:p>
        </w:tc>
        <w:tc>
          <w:tcPr>
            <w:tcW w:w="1006" w:type="dxa"/>
            <w:tcBorders/>
            <w:shd w:fill="FFFFFF" w:val="clear"/>
            <w:vAlign w:val="center"/>
          </w:tcPr>
          <w:p>
            <w:pPr>
              <w:pStyle w:val="TableContents"/>
              <w:bidi w:val="0"/>
              <w:spacing w:before="0" w:after="283"/>
              <w:jc w:val="left"/>
            </w:pPr>
            <w:r>
              <w:t> </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jc w:val="left"/>
            </w:pPr>
            <w:r>
              <w:t> </w:t>
            </w:r>
          </w:p>
        </w:tc>
        <w:tc>
          <w:tcPr>
            <w:tcW w:w="1093"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40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(13,639</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w:t>
            </w:r>
          </w:p>
        </w:tc>
        <w:tc>
          <w:tcPr>
            <w:tcW w:w="83" w:type="dxa"/>
            <w:tcBorders/>
            <w:shd w:fill="CCEEFF" w:val="clear"/>
            <w:vAlign w:val="center"/>
          </w:tcPr>
          <w:p>
            <w:pPr>
              <w:pStyle w:val="TableContents"/>
              <w:bidi w:val="0"/>
              <w:spacing w:before="0" w:after="283"/>
              <w:jc w:val="left"/>
            </w:pPr>
            <w:r>
              <w:t> </w:t>
            </w:r>
          </w:p>
        </w:tc>
      </w:tr>
      <w:tr>
        <w:tc>
          <w:tcPr>
            <w:tcW w:w="740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(16,826</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(19,042</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40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1,561</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1,180</w:t>
            </w:r>
          </w:p>
        </w:tc>
        <w:tc>
          <w:tcPr>
            <w:tcW w:w="83" w:type="dxa"/>
            <w:tcBorders/>
            <w:shd w:fill="CCEEFF" w:val="clear"/>
            <w:vAlign w:val="center"/>
          </w:tcPr>
          <w:p>
            <w:pPr>
              <w:pStyle w:val="TableContents"/>
              <w:bidi w:val="0"/>
              <w:spacing w:before="0" w:after="283"/>
              <w:jc w:val="left"/>
            </w:pPr>
            <w:r>
              <w:t> </w:t>
            </w:r>
          </w:p>
        </w:tc>
      </w:tr>
      <w:tr>
        <w:tc>
          <w:tcPr>
            <w:tcW w:w="740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(3,196</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w:t>
            </w:r>
          </w:p>
        </w:tc>
        <w:tc>
          <w:tcPr>
            <w:tcW w:w="83" w:type="dxa"/>
            <w:tcBorders/>
            <w:shd w:fill="FFFFFF" w:val="clear"/>
            <w:vAlign w:val="center"/>
          </w:tcPr>
          <w:p>
            <w:pPr>
              <w:pStyle w:val="TableContents"/>
              <w:bidi w:val="0"/>
              <w:spacing w:before="0" w:after="283"/>
              <w:jc w:val="left"/>
            </w:pPr>
            <w:r>
              <w:t> </w:t>
            </w:r>
          </w:p>
        </w:tc>
      </w:tr>
      <w:tr>
        <w:tc>
          <w:tcPr>
            <w:tcW w:w="740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3,208</w:t>
            </w:r>
          </w:p>
        </w:tc>
        <w:tc>
          <w:tcPr>
            <w:tcW w:w="83" w:type="dxa"/>
            <w:tcBorders/>
            <w:shd w:fill="CCEEFF" w:val="clear"/>
            <w:vAlign w:val="center"/>
          </w:tcPr>
          <w:p>
            <w:pPr>
              <w:pStyle w:val="TableContents"/>
              <w:bidi w:val="0"/>
              <w:spacing w:before="0" w:after="283"/>
              <w:jc w:val="left"/>
            </w:pPr>
            <w:r>
              <w:t> </w:t>
            </w:r>
          </w:p>
        </w:tc>
      </w:tr>
      <w:tr>
        <w:tc>
          <w:tcPr>
            <w:tcW w:w="740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related benefits</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(2,859</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83" w:type="dxa"/>
            <w:tcBorders/>
            <w:shd w:fill="FFFFFF" w:val="clear"/>
            <w:vAlign w:val="center"/>
          </w:tcPr>
          <w:p>
            <w:pPr>
              <w:pStyle w:val="TableContents"/>
              <w:bidi w:val="0"/>
              <w:spacing w:before="0" w:after="283"/>
              <w:jc w:val="left"/>
            </w:pPr>
            <w:r>
              <w:t> </w:t>
            </w:r>
          </w:p>
        </w:tc>
      </w:tr>
      <w:tr>
        <w:tc>
          <w:tcPr>
            <w:tcW w:w="740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liabilities</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(2,821</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40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revenues</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16,434</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(5,054</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40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jc w:val="left"/>
            </w:pPr>
            <w: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(1,457</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pPr>
            <w: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402"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pPr>
            <w: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31,834</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6,712</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7402"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1006" w:type="dxa"/>
            <w:tcBorders/>
            <w:shd w:fill="CCEEFF" w:val="clear"/>
            <w:vAlign w:val="center"/>
          </w:tcPr>
          <w:p>
            <w:pPr>
              <w:pStyle w:val="TableContents"/>
              <w:bidi w:val="0"/>
              <w:spacing w:before="0" w:after="283"/>
              <w:jc w:val="left"/>
            </w:pPr>
            <w:r>
              <w:t> </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1093"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40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jc w:val="left"/>
            </w:pPr>
            <w:r>
              <w:t> </w:t>
            </w:r>
          </w:p>
        </w:tc>
        <w:tc>
          <w:tcPr>
            <w:tcW w:w="1006" w:type="dxa"/>
            <w:tcBorders/>
            <w:shd w:fill="FFFFFF" w:val="clear"/>
            <w:vAlign w:val="center"/>
          </w:tcPr>
          <w:p>
            <w:pPr>
              <w:pStyle w:val="TableContents"/>
              <w:bidi w:val="0"/>
              <w:spacing w:before="0" w:after="283"/>
              <w:jc w:val="left"/>
            </w:pPr>
            <w:r>
              <w:t> </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jc w:val="left"/>
            </w:pPr>
            <w:r>
              <w:t> </w:t>
            </w:r>
          </w:p>
        </w:tc>
        <w:tc>
          <w:tcPr>
            <w:tcW w:w="1093"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maturities and sales of short-term investments</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06" w:type="dxa"/>
            <w:tcBorders/>
            <w:shd w:fill="CCEEFF" w:val="clear"/>
            <w:vAlign w:val="center"/>
          </w:tcPr>
          <w:p>
            <w:pPr>
              <w:pStyle w:val="TableContents"/>
              <w:bidi w:val="0"/>
              <w:spacing w:before="0" w:after="283"/>
              <w:ind w:left="0" w:right="0" w:hanging="0"/>
              <w:jc w:val="right"/>
            </w:pPr>
            <w:r>
              <w:t>—</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27,498</w:t>
            </w:r>
          </w:p>
        </w:tc>
        <w:tc>
          <w:tcPr>
            <w:tcW w:w="83" w:type="dxa"/>
            <w:tcBorders/>
            <w:shd w:fill="CCEEFF" w:val="clear"/>
            <w:vAlign w:val="center"/>
          </w:tcPr>
          <w:p>
            <w:pPr>
              <w:pStyle w:val="TableContents"/>
              <w:bidi w:val="0"/>
              <w:spacing w:before="0" w:after="283"/>
              <w:jc w:val="left"/>
            </w:pPr>
            <w:r>
              <w:t> </w:t>
            </w:r>
          </w:p>
        </w:tc>
      </w:tr>
      <w:tr>
        <w:tc>
          <w:tcPr>
            <w:tcW w:w="7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short-term investments</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06" w:type="dxa"/>
            <w:tcBorders/>
            <w:shd w:fill="FFFFFF" w:val="clear"/>
            <w:vAlign w:val="center"/>
          </w:tcPr>
          <w:p>
            <w:pPr>
              <w:pStyle w:val="TableContents"/>
              <w:bidi w:val="0"/>
              <w:spacing w:before="0" w:after="283"/>
              <w:ind w:left="0" w:right="0" w:hanging="0"/>
              <w:jc w:val="right"/>
            </w:pPr>
            <w:r>
              <w:t>—</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(2,937</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(39,407</w:t>
            </w:r>
          </w:p>
        </w:tc>
        <w:tc>
          <w:tcPr>
            <w:tcW w:w="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(22,840</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 for the purchase of property and equipment</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from previously written-off property and equipment</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1006" w:type="dxa"/>
            <w:tcBorders/>
            <w:shd w:fill="CCEEFF" w:val="clear"/>
            <w:vAlign w:val="center"/>
          </w:tcPr>
          <w:p>
            <w:pPr>
              <w:pStyle w:val="TableContents"/>
              <w:bidi w:val="0"/>
              <w:spacing w:before="0" w:after="283"/>
              <w:jc w:val="right"/>
            </w:pPr>
            <w:r>
              <w:t>—</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10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641</w:t>
            </w:r>
          </w:p>
        </w:tc>
        <w:tc>
          <w:tcPr>
            <w:tcW w:w="83" w:type="dxa"/>
            <w:tcBorders/>
            <w:shd w:fill="CCEEFF" w:val="clear"/>
            <w:vAlign w:val="center"/>
          </w:tcPr>
          <w:p>
            <w:pPr>
              <w:pStyle w:val="TableContents"/>
              <w:bidi w:val="0"/>
              <w:spacing w:before="0" w:after="283"/>
              <w:jc w:val="left"/>
            </w:pPr>
            <w:r>
              <w:t> </w:t>
            </w:r>
          </w:p>
        </w:tc>
      </w:tr>
      <w:tr>
        <w:tc>
          <w:tcPr>
            <w:tcW w:w="7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for business acquisition, net of cash acquired</w:t>
            </w:r>
          </w:p>
        </w:tc>
        <w:tc>
          <w:tcPr>
            <w:tcW w:w="60" w:type="dxa"/>
            <w:tcBorders/>
            <w:shd w:fill="FFFFFF" w:val="clear"/>
            <w:vAlign w:val="center"/>
          </w:tcPr>
          <w:p>
            <w:pPr>
              <w:pStyle w:val="TableContents"/>
              <w:bidi w:val="0"/>
              <w:spacing w:before="0" w:after="283"/>
              <w:jc w:val="left"/>
            </w:pPr>
            <w: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(129,718</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402" w:type="dxa"/>
            <w:tcBorders/>
            <w:shd w:fill="CCEE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pPr>
            <w: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(39,653</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pPr>
            <w: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(127,570</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40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jc w:val="left"/>
            </w:pPr>
            <w:r>
              <w:t> </w:t>
            </w:r>
          </w:p>
        </w:tc>
        <w:tc>
          <w:tcPr>
            <w:tcW w:w="1006" w:type="dxa"/>
            <w:tcBorders/>
            <w:shd w:fill="FFFFFF" w:val="clear"/>
            <w:vAlign w:val="center"/>
          </w:tcPr>
          <w:p>
            <w:pPr>
              <w:pStyle w:val="TableContents"/>
              <w:bidi w:val="0"/>
              <w:spacing w:before="0" w:after="283"/>
              <w:jc w:val="left"/>
            </w:pPr>
            <w:r>
              <w:t> </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jc w:val="left"/>
            </w:pPr>
            <w:r>
              <w:t> </w:t>
            </w:r>
          </w:p>
        </w:tc>
        <w:tc>
          <w:tcPr>
            <w:tcW w:w="1093"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40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1006" w:type="dxa"/>
            <w:tcBorders/>
            <w:shd w:fill="CCEEFF" w:val="clear"/>
            <w:vAlign w:val="center"/>
          </w:tcPr>
          <w:p>
            <w:pPr>
              <w:pStyle w:val="TableContents"/>
              <w:bidi w:val="0"/>
              <w:spacing w:before="0" w:after="283"/>
              <w:jc w:val="left"/>
            </w:pPr>
            <w:r>
              <w:t> </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1093"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r>
      <w:tr>
        <w:tc>
          <w:tcPr>
            <w:tcW w:w="7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shares issued under secondary offering, net of underwriting discounts and commissions of $3,860</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jc w:val="left"/>
            </w:pPr>
            <w:r>
              <w:t> </w:t>
            </w:r>
          </w:p>
        </w:tc>
        <w:tc>
          <w:tcPr>
            <w:tcW w:w="10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81,791</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jc w:val="left"/>
            </w:pPr>
            <w:r>
              <w:t> </w:t>
            </w:r>
          </w:p>
        </w:tc>
        <w:tc>
          <w:tcPr>
            <w:tcW w:w="1093" w:type="dxa"/>
            <w:tcBorders/>
            <w:shd w:fill="FFFFFF" w:val="clear"/>
            <w:vAlign w:val="center"/>
          </w:tcPr>
          <w:p>
            <w:pPr>
              <w:pStyle w:val="TableContents"/>
              <w:bidi w:val="0"/>
              <w:spacing w:before="0" w:after="283"/>
              <w:jc w:val="right"/>
            </w:pPr>
            <w:r>
              <w:t>—</w:t>
            </w:r>
          </w:p>
        </w:tc>
        <w:tc>
          <w:tcPr>
            <w:tcW w:w="83" w:type="dxa"/>
            <w:tcBorders/>
            <w:shd w:fill="FFFFFF" w:val="clear"/>
            <w:vAlign w:val="center"/>
          </w:tcPr>
          <w:p>
            <w:pPr>
              <w:pStyle w:val="TableContents"/>
              <w:bidi w:val="0"/>
              <w:spacing w:before="0" w:after="283"/>
              <w:jc w:val="left"/>
            </w:pPr>
            <w:r>
              <w:t> </w:t>
            </w:r>
          </w:p>
        </w:tc>
      </w:tr>
      <w:tr>
        <w:tc>
          <w:tcPr>
            <w:tcW w:w="7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exercise of stock options and employee stock purchase plan</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10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4,431</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10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4,243</w:t>
            </w:r>
          </w:p>
        </w:tc>
        <w:tc>
          <w:tcPr>
            <w:tcW w:w="83" w:type="dxa"/>
            <w:tcBorders/>
            <w:shd w:fill="CCEEFF" w:val="clear"/>
            <w:vAlign w:val="center"/>
          </w:tcPr>
          <w:p>
            <w:pPr>
              <w:pStyle w:val="TableContents"/>
              <w:bidi w:val="0"/>
              <w:spacing w:before="0" w:after="283"/>
              <w:jc w:val="left"/>
            </w:pPr>
            <w:r>
              <w:t> </w:t>
            </w:r>
          </w:p>
        </w:tc>
      </w:tr>
      <w:tr>
        <w:tc>
          <w:tcPr>
            <w:tcW w:w="7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for taxes related to net share settlement of equity awards</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(11,625</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common stock</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1006" w:type="dxa"/>
            <w:tcBorders/>
            <w:shd w:fill="CCEEFF" w:val="clear"/>
            <w:vAlign w:val="center"/>
          </w:tcPr>
          <w:p>
            <w:pPr>
              <w:pStyle w:val="TableContents"/>
              <w:bidi w:val="0"/>
              <w:spacing w:before="0" w:after="283"/>
              <w:jc w:val="right"/>
            </w:pPr>
            <w:r>
              <w:t>—</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10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40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of long-term debt</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long-term debt, net of debt discount</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06" w:type="dxa"/>
            <w:tcBorders/>
            <w:shd w:fill="CCEEFF" w:val="clear"/>
            <w:vAlign w:val="center"/>
          </w:tcPr>
          <w:p>
            <w:pPr>
              <w:pStyle w:val="TableContents"/>
              <w:bidi w:val="0"/>
              <w:spacing w:before="0" w:after="283"/>
              <w:ind w:left="0" w:right="0" w:hanging="0"/>
              <w:jc w:val="right"/>
            </w:pPr>
            <w:r>
              <w:t>—</w:t>
            </w:r>
          </w:p>
        </w:tc>
        <w:tc>
          <w:tcPr>
            <w:tcW w:w="11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69,550</w:t>
            </w:r>
          </w:p>
        </w:tc>
        <w:tc>
          <w:tcPr>
            <w:tcW w:w="83" w:type="dxa"/>
            <w:tcBorders/>
            <w:shd w:fill="CCEEFF" w:val="clear"/>
            <w:vAlign w:val="center"/>
          </w:tcPr>
          <w:p>
            <w:pPr>
              <w:pStyle w:val="TableContents"/>
              <w:bidi w:val="0"/>
              <w:spacing w:before="0" w:after="283"/>
              <w:jc w:val="left"/>
            </w:pPr>
            <w:r>
              <w:t> </w:t>
            </w:r>
          </w:p>
        </w:tc>
      </w:tr>
      <w:tr>
        <w:tc>
          <w:tcPr>
            <w:tcW w:w="7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debt issuance costs</w:t>
            </w:r>
          </w:p>
        </w:tc>
        <w:tc>
          <w:tcPr>
            <w:tcW w:w="60" w:type="dxa"/>
            <w:tcBorders/>
            <w:shd w:fill="FFFFFF" w:val="clear"/>
            <w:vAlign w:val="center"/>
          </w:tcPr>
          <w:p>
            <w:pPr>
              <w:pStyle w:val="TableContents"/>
              <w:bidi w:val="0"/>
              <w:spacing w:before="0" w:after="283"/>
              <w:jc w:val="left"/>
            </w:pPr>
            <w: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pPr>
            <w: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402" w:type="dxa"/>
            <w:tcBorders/>
            <w:shd w:fill="CCEE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pPr>
            <w: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72,578</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65,453</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740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jc w:val="left"/>
            </w:pPr>
            <w:r>
              <w:t> </w:t>
            </w:r>
          </w:p>
        </w:tc>
        <w:tc>
          <w:tcPr>
            <w:tcW w:w="1006" w:type="dxa"/>
            <w:tcBorders/>
            <w:shd w:fill="FFFFFF" w:val="clear"/>
            <w:vAlign w:val="center"/>
          </w:tcPr>
          <w:p>
            <w:pPr>
              <w:pStyle w:val="TableContents"/>
              <w:bidi w:val="0"/>
              <w:spacing w:before="0" w:after="283"/>
              <w:jc w:val="left"/>
            </w:pPr>
            <w:r>
              <w:t> </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jc w:val="left"/>
            </w:pPr>
            <w:r>
              <w:t> </w:t>
            </w:r>
          </w:p>
        </w:tc>
        <w:tc>
          <w:tcPr>
            <w:tcW w:w="1093" w:type="dxa"/>
            <w:tcBorders/>
            <w:shd w:fill="FFFFFF" w:val="clear"/>
            <w:vAlign w:val="center"/>
          </w:tcPr>
          <w:p>
            <w:pPr>
              <w:pStyle w:val="TableContents"/>
              <w:bidi w:val="0"/>
              <w:spacing w:before="0" w:after="283"/>
              <w:jc w:val="left"/>
            </w:pPr>
            <w:r>
              <w:t> </w:t>
            </w:r>
          </w:p>
        </w:tc>
        <w:tc>
          <w:tcPr>
            <w:tcW w:w="83" w:type="dxa"/>
            <w:tcBorders/>
            <w:shd w:fill="FFFFFF" w:val="clear"/>
            <w:vAlign w:val="center"/>
          </w:tcPr>
          <w:p>
            <w:pPr>
              <w:pStyle w:val="TableContents"/>
              <w:bidi w:val="0"/>
              <w:spacing w:before="0" w:after="283"/>
              <w:jc w:val="left"/>
            </w:pPr>
            <w:r>
              <w:t> </w:t>
            </w:r>
          </w:p>
        </w:tc>
      </w:tr>
      <w:tr>
        <w:tc>
          <w:tcPr>
            <w:tcW w:w="7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p>
        </w:tc>
        <w:tc>
          <w:tcPr>
            <w:tcW w:w="60" w:type="dxa"/>
            <w:tcBorders/>
            <w:shd w:fill="CCEEFF" w:val="clear"/>
            <w:vAlign w:val="center"/>
          </w:tcPr>
          <w:p>
            <w:pPr>
              <w:pStyle w:val="TableContents"/>
              <w:bidi w:val="0"/>
              <w:spacing w:before="0" w:after="283"/>
              <w:jc w:val="left"/>
            </w:pPr>
            <w: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74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 and cash equivalents</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64,911</w:t>
            </w:r>
          </w:p>
        </w:tc>
        <w:tc>
          <w:tcPr>
            <w:tcW w:w="115" w:type="dxa"/>
            <w:tcBorders/>
            <w:shd w:fill="FFFFFF" w:val="cle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(54,714</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4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pPr>
            <w: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42,220</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90,594</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740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pPr>
            <w: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107,131</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ind w:left="0" w:right="0" w:hanging="0"/>
              <w:jc w:val="left"/>
            </w:pPr>
            <w: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35,880</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Continued on next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PDF SOLUTIONS,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CONDENSED CONSOLIDATED STATEMENTS OF CASH FLOWS </w:t>
      </w:r>
      <w:r>
        <w:rPr>
          <w:rFonts w:ascii="Times New Roman" w:hAnsi="Times New Roman"/>
          <w:caps w:val="false"/>
          <w:smallCaps w:val="false"/>
          <w:sz w:val="20"/>
        </w:rPr>
        <w:t xml:space="preserve">– </w:t>
      </w:r>
      <w:r>
        <w:rPr>
          <w:rFonts w:ascii="Times New Roman" w:hAnsi="Times New Roman"/>
          <w:b/>
          <w:caps w:val="false"/>
          <w:smallCaps w:val="false"/>
          <w:sz w:val="20"/>
        </w:rPr>
        <w:t>CONTINUED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95"/>
        <w:gridCol w:w="60"/>
        <w:gridCol w:w="189"/>
        <w:gridCol w:w="735"/>
        <w:gridCol w:w="90"/>
        <w:gridCol w:w="90"/>
        <w:gridCol w:w="189"/>
        <w:gridCol w:w="894"/>
        <w:gridCol w:w="63"/>
      </w:tblGrid>
      <w:tr>
        <w:tc>
          <w:tcPr>
            <w:tcW w:w="78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1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78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90" w:type="dxa"/>
            <w:tcBorders/>
            <w:shd w:fill="FFFFFF" w:val="clear"/>
            <w:vAlign w:val="center"/>
          </w:tcPr>
          <w:p>
            <w:pPr>
              <w:pStyle w:val="TableContents"/>
              <w:bidi w:val="0"/>
              <w:spacing w:before="0" w:after="283"/>
              <w:ind w:left="0" w:right="0" w:hanging="0"/>
              <w:jc w:val="left"/>
            </w:pPr>
            <w:r>
              <w:t> </w:t>
            </w:r>
          </w:p>
        </w:tc>
        <w:tc>
          <w:tcPr>
            <w:tcW w:w="10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7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pPr>
            <w:r>
              <w:t> </w:t>
            </w:r>
          </w:p>
        </w:tc>
        <w:tc>
          <w:tcPr>
            <w:tcW w:w="189" w:type="dxa"/>
            <w:tcBorders/>
            <w:shd w:fill="CCEEFF" w:val="clear"/>
            <w:vAlign w:val="center"/>
          </w:tcPr>
          <w:p>
            <w:pPr>
              <w:pStyle w:val="TableContents"/>
              <w:bidi w:val="0"/>
              <w:spacing w:before="0" w:after="283"/>
              <w:jc w:val="left"/>
            </w:pPr>
            <w:r>
              <w:t> </w:t>
            </w:r>
          </w:p>
        </w:tc>
        <w:tc>
          <w:tcPr>
            <w:tcW w:w="73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9" w:type="dxa"/>
            <w:tcBorders/>
            <w:shd w:fill="CCEEFF" w:val="clear"/>
            <w:vAlign w:val="center"/>
          </w:tcPr>
          <w:p>
            <w:pPr>
              <w:pStyle w:val="TableContents"/>
              <w:bidi w:val="0"/>
              <w:spacing w:before="0" w:after="283"/>
              <w:jc w:val="left"/>
            </w:pPr>
            <w:r>
              <w:t> </w:t>
            </w:r>
          </w:p>
        </w:tc>
        <w:tc>
          <w:tcPr>
            <w:tcW w:w="894"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r>
      <w:tr>
        <w:tc>
          <w:tcPr>
            <w:tcW w:w="78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 for:</w:t>
            </w:r>
          </w:p>
        </w:tc>
        <w:tc>
          <w:tcPr>
            <w:tcW w:w="60" w:type="dxa"/>
            <w:tcBorders/>
            <w:shd w:fill="FFFFFF" w:val="clear"/>
            <w:vAlign w:val="center"/>
          </w:tcPr>
          <w:p>
            <w:pPr>
              <w:pStyle w:val="TableContents"/>
              <w:bidi w:val="0"/>
              <w:spacing w:before="0" w:after="283"/>
              <w:jc w:val="left"/>
            </w:pPr>
            <w:r>
              <w:t> </w:t>
            </w:r>
          </w:p>
        </w:tc>
        <w:tc>
          <w:tcPr>
            <w:tcW w:w="189" w:type="dxa"/>
            <w:tcBorders/>
            <w:shd w:fill="FFFFFF" w:val="clear"/>
            <w:vAlign w:val="center"/>
          </w:tcPr>
          <w:p>
            <w:pPr>
              <w:pStyle w:val="TableContents"/>
              <w:bidi w:val="0"/>
              <w:spacing w:before="0" w:after="283"/>
              <w:jc w:val="left"/>
            </w:pPr>
            <w:r>
              <w:t> </w:t>
            </w:r>
          </w:p>
        </w:tc>
        <w:tc>
          <w:tcPr>
            <w:tcW w:w="735" w:type="dxa"/>
            <w:tcBorders/>
            <w:shd w:fill="FFFFFF" w:val="clear"/>
            <w:vAlign w:val="center"/>
          </w:tcPr>
          <w:p>
            <w:pPr>
              <w:pStyle w:val="TableContents"/>
              <w:bidi w:val="0"/>
              <w:spacing w:before="0" w:after="283"/>
              <w:jc w:val="left"/>
            </w:pPr>
            <w:r>
              <w:t> </w:t>
            </w:r>
          </w:p>
        </w:tc>
        <w:tc>
          <w:tcPr>
            <w:tcW w:w="90" w:type="dxa"/>
            <w:tcBorders/>
            <w:shd w:fill="FFFFFF" w:val="clear"/>
            <w:vAlign w:val="center"/>
          </w:tcPr>
          <w:p>
            <w:pPr>
              <w:pStyle w:val="TableContents"/>
              <w:bidi w:val="0"/>
              <w:spacing w:before="0" w:after="283"/>
              <w:jc w:val="left"/>
            </w:pPr>
            <w:r>
              <w:t> </w:t>
            </w:r>
          </w:p>
        </w:tc>
        <w:tc>
          <w:tcPr>
            <w:tcW w:w="90" w:type="dxa"/>
            <w:tcBorders/>
            <w:shd w:fill="FFFFFF" w:val="clear"/>
            <w:vAlign w:val="center"/>
          </w:tcPr>
          <w:p>
            <w:pPr>
              <w:pStyle w:val="TableContents"/>
              <w:bidi w:val="0"/>
              <w:spacing w:before="0" w:after="283"/>
              <w:jc w:val="left"/>
            </w:pPr>
            <w:r>
              <w:t> </w:t>
            </w:r>
          </w:p>
        </w:tc>
        <w:tc>
          <w:tcPr>
            <w:tcW w:w="189" w:type="dxa"/>
            <w:tcBorders/>
            <w:shd w:fill="FFFFFF" w:val="clear"/>
            <w:vAlign w:val="center"/>
          </w:tcPr>
          <w:p>
            <w:pPr>
              <w:pStyle w:val="TableContents"/>
              <w:bidi w:val="0"/>
              <w:spacing w:before="0" w:after="283"/>
              <w:jc w:val="left"/>
            </w:pPr>
            <w:r>
              <w:t> </w:t>
            </w:r>
          </w:p>
        </w:tc>
        <w:tc>
          <w:tcPr>
            <w:tcW w:w="894"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r>
      <w:tr>
        <w:tc>
          <w:tcPr>
            <w:tcW w:w="78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789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included in the measurement of operating lease liabilities</w:t>
            </w:r>
          </w:p>
        </w:tc>
        <w:tc>
          <w:tcPr>
            <w:tcW w:w="60" w:type="dxa"/>
            <w:tcBorders/>
            <w:shd w:fill="FFFF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1,716</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90" w:type="dxa"/>
            <w:tcBorders/>
            <w:shd w:fill="FFFF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r>
        <w:tc>
          <w:tcPr>
            <w:tcW w:w="789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Interest on long-term debt</w:t>
            </w:r>
          </w:p>
        </w:tc>
        <w:tc>
          <w:tcPr>
            <w:tcW w:w="60" w:type="dxa"/>
            <w:tcBorders/>
            <w:shd w:fill="CCEE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3,046</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2,622</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78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9" w:type="dxa"/>
            <w:tcBorders/>
            <w:shd w:fill="FFFFFF" w:val="clear"/>
            <w:vAlign w:val="center"/>
          </w:tcPr>
          <w:p>
            <w:pPr>
              <w:pStyle w:val="TableContents"/>
              <w:bidi w:val="0"/>
              <w:spacing w:before="0" w:after="283"/>
              <w:jc w:val="left"/>
            </w:pPr>
            <w:r>
              <w:t> </w:t>
            </w:r>
          </w:p>
        </w:tc>
        <w:tc>
          <w:tcPr>
            <w:tcW w:w="735" w:type="dxa"/>
            <w:tcBorders/>
            <w:shd w:fill="FFFFFF" w:val="clear"/>
            <w:vAlign w:val="center"/>
          </w:tcPr>
          <w:p>
            <w:pPr>
              <w:pStyle w:val="TableContents"/>
              <w:bidi w:val="0"/>
              <w:spacing w:before="0" w:after="283"/>
              <w:jc w:val="left"/>
            </w:pPr>
            <w:r>
              <w:t> </w:t>
            </w:r>
          </w:p>
        </w:tc>
        <w:tc>
          <w:tcPr>
            <w:tcW w:w="90" w:type="dxa"/>
            <w:tcBorders/>
            <w:shd w:fill="FFFFFF" w:val="clear"/>
            <w:vAlign w:val="center"/>
          </w:tcPr>
          <w:p>
            <w:pPr>
              <w:pStyle w:val="TableContents"/>
              <w:bidi w:val="0"/>
              <w:spacing w:before="0" w:after="283"/>
              <w:jc w:val="left"/>
            </w:pPr>
            <w:r>
              <w:t> </w:t>
            </w:r>
          </w:p>
        </w:tc>
        <w:tc>
          <w:tcPr>
            <w:tcW w:w="90" w:type="dxa"/>
            <w:tcBorders/>
            <w:shd w:fill="FFFFFF" w:val="clear"/>
            <w:vAlign w:val="center"/>
          </w:tcPr>
          <w:p>
            <w:pPr>
              <w:pStyle w:val="TableContents"/>
              <w:bidi w:val="0"/>
              <w:spacing w:before="0" w:after="283"/>
              <w:jc w:val="left"/>
            </w:pPr>
            <w:r>
              <w:t> </w:t>
            </w:r>
          </w:p>
        </w:tc>
        <w:tc>
          <w:tcPr>
            <w:tcW w:w="189" w:type="dxa"/>
            <w:tcBorders/>
            <w:shd w:fill="FFFFFF" w:val="clear"/>
            <w:vAlign w:val="center"/>
          </w:tcPr>
          <w:p>
            <w:pPr>
              <w:pStyle w:val="TableContents"/>
              <w:bidi w:val="0"/>
              <w:spacing w:before="0" w:after="283"/>
              <w:jc w:val="left"/>
            </w:pPr>
            <w:r>
              <w:t> </w:t>
            </w:r>
          </w:p>
        </w:tc>
        <w:tc>
          <w:tcPr>
            <w:tcW w:w="894" w:type="dxa"/>
            <w:tcBorders/>
            <w:shd w:fill="FFFFFF" w:val="clear"/>
            <w:vAlign w:val="center"/>
          </w:tcPr>
          <w:p>
            <w:pPr>
              <w:pStyle w:val="TableContents"/>
              <w:bidi w:val="0"/>
              <w:spacing w:before="0" w:after="283"/>
              <w:jc w:val="left"/>
            </w:pPr>
            <w:r>
              <w:t> </w:t>
            </w:r>
          </w:p>
        </w:tc>
        <w:tc>
          <w:tcPr>
            <w:tcW w:w="63" w:type="dxa"/>
            <w:tcBorders/>
            <w:shd w:fill="FFFFFF" w:val="clear"/>
            <w:vAlign w:val="center"/>
          </w:tcPr>
          <w:p>
            <w:pPr>
              <w:pStyle w:val="TableContents"/>
              <w:bidi w:val="0"/>
              <w:spacing w:before="0" w:after="283"/>
              <w:jc w:val="left"/>
            </w:pPr>
            <w:r>
              <w:t> </w:t>
            </w:r>
          </w:p>
        </w:tc>
      </w:tr>
      <w:tr>
        <w:tc>
          <w:tcPr>
            <w:tcW w:w="7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noncash information:</w:t>
            </w:r>
          </w:p>
        </w:tc>
        <w:tc>
          <w:tcPr>
            <w:tcW w:w="60" w:type="dxa"/>
            <w:tcBorders/>
            <w:shd w:fill="CCEEFF" w:val="clear"/>
            <w:vAlign w:val="center"/>
          </w:tcPr>
          <w:p>
            <w:pPr>
              <w:pStyle w:val="TableContents"/>
              <w:bidi w:val="0"/>
              <w:spacing w:before="0" w:after="283"/>
              <w:jc w:val="left"/>
            </w:pPr>
            <w:r>
              <w:t> </w:t>
            </w:r>
          </w:p>
        </w:tc>
        <w:tc>
          <w:tcPr>
            <w:tcW w:w="189" w:type="dxa"/>
            <w:tcBorders/>
            <w:shd w:fill="CCEEFF" w:val="clear"/>
            <w:vAlign w:val="center"/>
          </w:tcPr>
          <w:p>
            <w:pPr>
              <w:pStyle w:val="TableContents"/>
              <w:bidi w:val="0"/>
              <w:spacing w:before="0" w:after="283"/>
              <w:jc w:val="left"/>
            </w:pPr>
            <w:r>
              <w:t> </w:t>
            </w:r>
          </w:p>
        </w:tc>
        <w:tc>
          <w:tcPr>
            <w:tcW w:w="735"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jc w:val="left"/>
            </w:pPr>
            <w:r>
              <w:t> </w:t>
            </w:r>
          </w:p>
        </w:tc>
        <w:tc>
          <w:tcPr>
            <w:tcW w:w="189" w:type="dxa"/>
            <w:tcBorders/>
            <w:shd w:fill="CCEEFF" w:val="clear"/>
            <w:vAlign w:val="center"/>
          </w:tcPr>
          <w:p>
            <w:pPr>
              <w:pStyle w:val="TableContents"/>
              <w:bidi w:val="0"/>
              <w:spacing w:before="0" w:after="283"/>
              <w:jc w:val="left"/>
            </w:pPr>
            <w:r>
              <w:t> </w:t>
            </w:r>
          </w:p>
        </w:tc>
        <w:tc>
          <w:tcPr>
            <w:tcW w:w="894" w:type="dxa"/>
            <w:tcBorders/>
            <w:shd w:fill="CCEEFF" w:val="clear"/>
            <w:vAlign w:val="center"/>
          </w:tcPr>
          <w:p>
            <w:pPr>
              <w:pStyle w:val="TableContents"/>
              <w:bidi w:val="0"/>
              <w:spacing w:before="0" w:after="283"/>
              <w:jc w:val="left"/>
            </w:pPr>
            <w:r>
              <w:t> </w:t>
            </w:r>
          </w:p>
        </w:tc>
        <w:tc>
          <w:tcPr>
            <w:tcW w:w="63" w:type="dxa"/>
            <w:tcBorders/>
            <w:shd w:fill="CCEEFF" w:val="clear"/>
            <w:vAlign w:val="center"/>
          </w:tcPr>
          <w:p>
            <w:pPr>
              <w:pStyle w:val="TableContents"/>
              <w:bidi w:val="0"/>
              <w:spacing w:before="0" w:after="283"/>
              <w:jc w:val="left"/>
            </w:pPr>
            <w:r>
              <w:t> </w:t>
            </w:r>
          </w:p>
        </w:tc>
      </w:tr>
      <w:tr>
        <w:tc>
          <w:tcPr>
            <w:tcW w:w="7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Prepayments for purchase of property and equipment transferred from prepaid assets to property and equipment</w:t>
            </w:r>
          </w:p>
        </w:tc>
        <w:tc>
          <w:tcPr>
            <w:tcW w:w="60" w:type="dxa"/>
            <w:tcBorders/>
            <w:shd w:fill="FFFF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90" w:type="dxa"/>
            <w:tcBorders/>
            <w:shd w:fill="FFFF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r>
        <w:tc>
          <w:tcPr>
            <w:tcW w:w="7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received and accrued in accounts payable and accrued and other current liabilities</w:t>
            </w:r>
          </w:p>
        </w:tc>
        <w:tc>
          <w:tcPr>
            <w:tcW w:w="60" w:type="dxa"/>
            <w:tcBorders/>
            <w:shd w:fill="CCEE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6,213</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11,318</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7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capitalized as property and equipment</w:t>
            </w:r>
          </w:p>
        </w:tc>
        <w:tc>
          <w:tcPr>
            <w:tcW w:w="60" w:type="dxa"/>
            <w:tcBorders/>
            <w:shd w:fill="FFFF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90" w:type="dxa"/>
            <w:tcBorders/>
            <w:shd w:fill="FFFF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r>
        <w:tc>
          <w:tcPr>
            <w:tcW w:w="78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carrying value of property and equipment expensed in cost of revenues, and property and equipment transferred to sales-type leases and from other non-current assets, net</w:t>
            </w:r>
          </w:p>
        </w:tc>
        <w:tc>
          <w:tcPr>
            <w:tcW w:w="60" w:type="dxa"/>
            <w:tcBorders/>
            <w:shd w:fill="CCEE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5,602</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90" w:type="dxa"/>
            <w:tcBorders/>
            <w:shd w:fill="CCEE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3,242</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7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arising from obtaining right-of-use assets</w:t>
            </w:r>
          </w:p>
        </w:tc>
        <w:tc>
          <w:tcPr>
            <w:tcW w:w="60" w:type="dxa"/>
            <w:tcBorders/>
            <w:shd w:fill="FFFF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4,981</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90" w:type="dxa"/>
            <w:tcBorders/>
            <w:shd w:fill="FFFFFF" w:val="clear"/>
            <w:vAlign w:val="center"/>
          </w:tcPr>
          <w:p>
            <w:pPr>
              <w:pStyle w:val="TableContents"/>
              <w:bidi w:val="0"/>
              <w:spacing w:before="0" w:after="283"/>
              <w:ind w:left="0" w:right="0" w:hanging="0"/>
              <w:jc w:val="left"/>
            </w:pPr>
            <w: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2,292</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360"/>
        <w:jc w:val="center"/>
        <w:rPr>
          <w:rFonts w:ascii="Times New Roman" w:hAnsi="Times New Roman"/>
          <w:caps w:val="false"/>
          <w:smallCaps w:val="false"/>
          <w:sz w:val="20"/>
        </w:rPr>
      </w:pPr>
      <w:r>
        <w:rPr>
          <w:rFonts w:ascii="Times New Roman" w:hAnsi="Times New Roman"/>
          <w:b/>
          <w:i/>
          <w:caps w:val="false"/>
          <w:smallCaps w:val="false"/>
          <w:sz w:val="20"/>
        </w:rPr>
        <w:t>See accompanying</w:t>
      </w:r>
      <w:r>
        <w:rPr>
          <w:rFonts w:ascii="Times New Roman" w:hAnsi="Times New Roman"/>
          <w:caps w:val="false"/>
          <w:smallCaps w:val="false"/>
          <w:sz w:val="20"/>
        </w:rPr>
        <w:t> </w:t>
      </w:r>
      <w:r>
        <w:rPr>
          <w:rFonts w:ascii="Times New Roman" w:hAnsi="Times New Roman"/>
          <w:b/>
          <w:i/>
          <w:caps w:val="false"/>
          <w:smallCaps w:val="false"/>
          <w:sz w:val="20"/>
        </w:rPr>
        <w:t>Notes</w:t>
      </w:r>
      <w:r>
        <w:rPr>
          <w:rFonts w:ascii="Times New Roman" w:hAnsi="Times New Roman"/>
          <w:caps w:val="false"/>
          <w:smallCaps w:val="false"/>
          <w:sz w:val="20"/>
        </w:rPr>
        <w:t> </w:t>
      </w:r>
      <w:r>
        <w:rPr>
          <w:rFonts w:ascii="Times New Roman" w:hAnsi="Times New Roman"/>
          <w:b/>
          <w:i/>
          <w:caps w:val="false"/>
          <w:smallCaps w:val="false"/>
          <w:sz w:val="20"/>
        </w:rPr>
        <w:t>to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caps w:val="false"/>
          <w:smallCaps w:val="false"/>
          <w:sz w:val="20"/>
        </w:rPr>
      </w:pPr>
      <w:bookmarkStart w:id="9" w:name="notes"/>
      <w:bookmarkEnd w:id="9"/>
      <w:r>
        <w:rPr>
          <w:rFonts w:ascii="Times New Roman" w:hAnsi="Times New Roman"/>
          <w:b/>
          <w:caps w:val="false"/>
          <w:smallCaps w:val="false"/>
          <w:sz w:val="20"/>
        </w:rPr>
        <w:t>PDF SOLUTIONS,</w:t>
      </w:r>
      <w:r>
        <w:rPr>
          <w:rFonts w:ascii="Times New Roman" w:hAnsi="Times New Roman"/>
          <w:caps w:val="false"/>
          <w:smallCaps w:val="false"/>
          <w:sz w:val="20"/>
        </w:rPr>
        <w:t> </w:t>
      </w:r>
      <w:r>
        <w:rPr>
          <w:rFonts w:ascii="Times New Roman" w:hAnsi="Times New Roman"/>
          <w:b/>
          <w:caps w:val="false"/>
          <w:smallCaps w:val="false"/>
          <w:sz w:val="20"/>
        </w:rPr>
        <w:t>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w:t>
      </w:r>
      <w:r>
        <w:rPr>
          <w:rFonts w:ascii="Times New Roman" w:hAnsi="Times New Roman"/>
          <w:caps w:val="false"/>
          <w:smallCaps w:val="false"/>
          <w:sz w:val="20"/>
        </w:rPr>
        <w:t> </w:t>
      </w:r>
      <w:r>
        <w:rPr>
          <w:rFonts w:ascii="Times New Roman" w:hAnsi="Times New Roman"/>
          <w:b/>
          <w:caps w:val="false"/>
          <w:smallCaps w:val="false"/>
          <w:sz w:val="20"/>
        </w:rPr>
        <w:t>TO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BASIS OF PRESENTATION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The interim unaudited condensed consolidated financial statements included herein have been prepared by PDF Solutions, Inc. (the “Company”) pursuant to the rules and regulations of the Securities and Exchange Commission (“SEC”), including the instructions to Quarterly Report on Form </w:t>
      </w:r>
      <w:r>
        <w:rPr>
          <w:rStyle w:val="Emphasis"/>
          <w:rFonts w:ascii="Times New Roman" w:hAnsi="Times New Roman"/>
          <w:caps w:val="false"/>
          <w:smallCaps w:val="false"/>
          <w:sz w:val="20"/>
        </w:rPr>
        <w:t>10</w:t>
        <w:noBreakHyphen/>
        <w:t>Q</w:t>
      </w:r>
      <w:r>
        <w:rPr>
          <w:rFonts w:ascii="Times New Roman" w:hAnsi="Times New Roman"/>
          <w:caps w:val="false"/>
          <w:smallCaps w:val="false"/>
          <w:sz w:val="20"/>
        </w:rPr>
        <w:t xml:space="preserve"> and Article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Certain information and footnote disclosures normally included in annual consolidated financial statements prepared in accordance with accounting principles generally accepted in the United States of America (“U.S. GAAP”) have been condensed or omitted. The interim unaudited condensed consolidated financial statements reflect, in the opinion of management, all adjustments necessary (consisting only of normal recurring adjustments) to present a fair statement of results for the interim periods presented. The operating results for any interim period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expected for other interim periods or the full fiscal year. The interim unaudited condensed consolidated financial statements should be read in conjunction with the audited consolidated financial statements and notes thereto included in the Company’s Annual Report on Form </w:t>
      </w:r>
      <w:r>
        <w:rPr>
          <w:rStyle w:val="Emphasis"/>
          <w:rFonts w:ascii="Times New Roman" w:hAnsi="Times New Roman"/>
          <w:caps w:val="false"/>
          <w:smallCaps w:val="false"/>
          <w:sz w:val="20"/>
        </w:rPr>
        <w:t>10</w:t>
        <w:noBreakHyphen/>
        <w:t>K</w:t>
      </w:r>
      <w:r>
        <w:rPr>
          <w:rFonts w:ascii="Times New Roman" w:hAnsi="Times New Roman"/>
          <w:caps w:val="false"/>
          <w:smallCaps w:val="false"/>
          <w:sz w:val="20"/>
        </w:rPr>
        <w:t xml:space="preserve">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filed with the SEC on </w:t>
      </w:r>
      <w:r>
        <w:rPr>
          <w:rStyle w:val="Emphasis"/>
          <w:rFonts w:ascii="Times New Roman" w:hAnsi="Times New Roman"/>
          <w:caps w:val="false"/>
          <w:smallCaps w:val="false"/>
          <w:sz w:val="20"/>
        </w:rPr>
        <w:t>February 24, 2026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10</w:t>
      </w:r>
      <w:r>
        <w:rPr>
          <w:rFonts w:ascii="Times New Roman" w:hAnsi="Times New Roman"/>
          <w:caps w:val="false"/>
          <w:smallCaps w:val="false"/>
          <w:sz w:val="20"/>
        </w:rPr>
        <w:t>-K”).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interim unaudited condensed consolidated financial statements include the accounts of the Company and its wholly-owned subsidiaries after the elimination of all intercompany balances and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unaudited condensed consolidated balance sheet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has been derived from the audited consolidated financial statements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disclosures required by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in these interim unaudited condensed consolidated financial statements include revenue recognition, the estimated useful lives of property and equipment and intangible assets, fair value of convertible note receivable, assumptions made in analysis of allowance for credit losses, impairment of goodwill and long-lived assets, realization of deferred tax assets (“DTAs”), and accounting for lease obligations, stock-based compensation expense, and income tax uncertainties and contingencies. From time to time,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enter into contingent fee arrangements with external legal firms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represent the Company in legal proceedings related to disputes. The Company’s policy is to accrue contingent legal fees when they are probable and reasonably estimable. Actual results could differ from those estimates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material effects on the Company’s operating results and financial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2026, </w:t>
      </w:r>
      <w:r>
        <w:rPr>
          <w:rFonts w:ascii="Times New Roman" w:hAnsi="Times New Roman"/>
          <w:caps w:val="false"/>
          <w:smallCaps w:val="false"/>
          <w:sz w:val="20"/>
        </w:rPr>
        <w:t xml:space="preserve">the Company established a new market-based performance stock unit (“PSU”) program. Under this PSU program, PSUs vest based on market conditions; therefore, the fair value of each PSU will be measured under a Monte Carlo simulation in order to simulate a range of possible future stock prices for the Company over the vesting period. The Monte Carlo simulation valuation model requires the use of various assumptions, including the stock price volatility and risk-free interest rate as of the valuation date corresponding to the length of time remaining in the vesting period. The Company recognizes stock-based compensation expense for awards with market conditions ratably for each vesting tranche, if more than one, over the vesting period using the accelerated attribution method and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reversed if the market condition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 in Presentation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Beginning with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the Company updated its presentation of revenue categories. The change in presentation of revenues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 the Company’s total revenues or total costs of revenues. The following table presents reclassified historical amounts to conform to the current period’s presentation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0"/>
        <w:gridCol w:w="60"/>
        <w:gridCol w:w="199"/>
        <w:gridCol w:w="858"/>
        <w:gridCol w:w="64"/>
        <w:gridCol w:w="64"/>
        <w:gridCol w:w="284"/>
        <w:gridCol w:w="1485"/>
        <w:gridCol w:w="86"/>
        <w:gridCol w:w="64"/>
        <w:gridCol w:w="211"/>
        <w:gridCol w:w="1001"/>
        <w:gridCol w:w="60"/>
        <w:gridCol w:w="60"/>
        <w:gridCol w:w="172"/>
        <w:gridCol w:w="885"/>
        <w:gridCol w:w="62"/>
        <w:gridCol w:w="62"/>
        <w:gridCol w:w="250"/>
        <w:gridCol w:w="1519"/>
        <w:gridCol w:w="83"/>
        <w:gridCol w:w="62"/>
        <w:gridCol w:w="184"/>
        <w:gridCol w:w="1028"/>
        <w:gridCol w:w="72"/>
      </w:tblGrid>
      <w:tr>
        <w:tc>
          <w:tcPr>
            <w:tcW w:w="13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31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30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 2025</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3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Previously Reported</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ind w:left="0" w:right="0" w:hanging="0"/>
              <w:jc w:val="left"/>
            </w:pPr>
            <w:r>
              <w:t> </w:t>
            </w:r>
          </w:p>
        </w:tc>
        <w:tc>
          <w:tcPr>
            <w:tcW w:w="1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Change in Presentation Reclassification</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ind w:left="0" w:right="0" w:hanging="0"/>
              <w:jc w:val="left"/>
            </w:pPr>
            <w:r>
              <w:t> </w:t>
            </w:r>
          </w:p>
        </w:tc>
        <w:tc>
          <w:tcPr>
            <w:tcW w:w="12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Current Presentation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Previously Reported</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1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Change in Presentation Reclassification</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12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Current Presentation</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3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pPr>
            <w:r>
              <w:t> </w:t>
            </w:r>
          </w:p>
        </w:tc>
        <w:tc>
          <w:tcPr>
            <w:tcW w:w="199" w:type="dxa"/>
            <w:tcBorders/>
            <w:shd w:fill="CCEEFF" w:val="clear"/>
            <w:vAlign w:val="center"/>
          </w:tcPr>
          <w:p>
            <w:pPr>
              <w:pStyle w:val="TableContents"/>
              <w:bidi w:val="0"/>
              <w:spacing w:before="0" w:after="283"/>
              <w:jc w:val="left"/>
            </w:pPr>
            <w:r>
              <w:t> </w:t>
            </w:r>
          </w:p>
        </w:tc>
        <w:tc>
          <w:tcPr>
            <w:tcW w:w="858"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284" w:type="dxa"/>
            <w:tcBorders/>
            <w:shd w:fill="CCEEFF" w:val="clear"/>
            <w:vAlign w:val="center"/>
          </w:tcPr>
          <w:p>
            <w:pPr>
              <w:pStyle w:val="TableContents"/>
              <w:bidi w:val="0"/>
              <w:spacing w:before="0" w:after="283"/>
              <w:jc w:val="left"/>
            </w:pPr>
            <w:r>
              <w:t> </w:t>
            </w:r>
          </w:p>
        </w:tc>
        <w:tc>
          <w:tcPr>
            <w:tcW w:w="1485"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jc w:val="left"/>
            </w:pPr>
            <w:r>
              <w:t> </w:t>
            </w:r>
          </w:p>
        </w:tc>
        <w:tc>
          <w:tcPr>
            <w:tcW w:w="1001"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jc w:val="left"/>
            </w:pPr>
            <w:r>
              <w:t> </w:t>
            </w:r>
          </w:p>
        </w:tc>
        <w:tc>
          <w:tcPr>
            <w:tcW w:w="885"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jc w:val="left"/>
            </w:pPr>
            <w:r>
              <w:t> </w:t>
            </w:r>
          </w:p>
        </w:tc>
        <w:tc>
          <w:tcPr>
            <w:tcW w:w="1519" w:type="dxa"/>
            <w:tcBorders/>
            <w:shd w:fill="CCEEFF" w:val="clear"/>
            <w:vAlign w:val="center"/>
          </w:tcPr>
          <w:p>
            <w:pPr>
              <w:pStyle w:val="TableContents"/>
              <w:bidi w:val="0"/>
              <w:spacing w:before="0" w:after="283"/>
              <w:jc w:val="left"/>
            </w:pPr>
            <w:r>
              <w:t> </w:t>
            </w:r>
          </w:p>
        </w:tc>
        <w:tc>
          <w:tcPr>
            <w:tcW w:w="83"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jc w:val="left"/>
            </w:pPr>
            <w:r>
              <w:t> </w:t>
            </w:r>
          </w:p>
        </w:tc>
        <w:tc>
          <w:tcPr>
            <w:tcW w:w="1028"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r>
      <w:tr>
        <w:tc>
          <w:tcPr>
            <w:tcW w:w="1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Analytics</w:t>
            </w:r>
          </w:p>
        </w:tc>
        <w:tc>
          <w:tcPr>
            <w:tcW w:w="60" w:type="dxa"/>
            <w:tcBorders/>
            <w:shd w:fill="FFFFFF" w:val="clear"/>
            <w:vAlign w:val="center"/>
          </w:tcPr>
          <w:p>
            <w:pPr>
              <w:pStyle w:val="TableContents"/>
              <w:bidi w:val="0"/>
              <w:spacing w:before="0" w:after="283"/>
              <w:ind w:left="0" w:right="0" w:hanging="0"/>
              <w:jc w:val="left"/>
            </w:pPr>
            <w: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54,662</w:t>
            </w:r>
          </w:p>
        </w:tc>
        <w:tc>
          <w:tcPr>
            <w:tcW w:w="64"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ind w:left="0" w:right="0" w:hanging="0"/>
              <w:jc w:val="left"/>
            </w:pPr>
            <w:r>
              <w:t> </w:t>
            </w:r>
          </w:p>
        </w:tc>
        <w:tc>
          <w:tcPr>
            <w:tcW w:w="2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(54,662</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ind w:left="0" w:right="0" w:hanging="0"/>
              <w:jc w:val="left"/>
            </w:pPr>
            <w: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145,955</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2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(145,955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ind w:left="0" w:right="0" w:hanging="0"/>
              <w:jc w:val="left"/>
            </w:pPr>
            <w: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FFFFFF" w:val="clear"/>
            <w:vAlign w:val="center"/>
          </w:tcPr>
          <w:p>
            <w:pPr>
              <w:pStyle w:val="TableContents"/>
              <w:bidi w:val="0"/>
              <w:spacing w:before="0" w:after="283"/>
              <w:ind w:left="0" w:right="0" w:hanging="0"/>
              <w:jc w:val="right"/>
            </w:pPr>
            <w:r>
              <w:t>—</w:t>
            </w:r>
          </w:p>
        </w:tc>
        <w:tc>
          <w:tcPr>
            <w:tcW w:w="72" w:type="dxa"/>
            <w:tcBorders/>
            <w:shd w:fill="FFFFFF" w:val="clear"/>
            <w:vAlign w:val="center"/>
          </w:tcPr>
          <w:p>
            <w:pPr>
              <w:pStyle w:val="TableContents"/>
              <w:bidi w:val="0"/>
              <w:spacing w:before="0" w:after="283"/>
              <w:jc w:val="left"/>
            </w:pPr>
            <w:r>
              <w:t> </w:t>
            </w:r>
          </w:p>
        </w:tc>
      </w:tr>
      <w:tr>
        <w:tc>
          <w:tcPr>
            <w:tcW w:w="1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Integrated Yield Ramp</w:t>
            </w:r>
          </w:p>
        </w:tc>
        <w:tc>
          <w:tcPr>
            <w:tcW w:w="60" w:type="dxa"/>
            <w:tcBorders/>
            <w:shd w:fill="CCEEFF" w:val="clear"/>
            <w:vAlign w:val="center"/>
          </w:tcPr>
          <w:p>
            <w:pPr>
              <w:pStyle w:val="TableContents"/>
              <w:bidi w:val="0"/>
              <w:spacing w:before="0" w:after="283"/>
              <w:jc w:val="left"/>
            </w:pPr>
            <w:r>
              <w:t> </w:t>
            </w:r>
          </w:p>
        </w:tc>
        <w:tc>
          <w:tcPr>
            <w:tcW w:w="199" w:type="dxa"/>
            <w:tcBorders/>
            <w:shd w:fill="CCEEFF" w:val="clear"/>
            <w:vAlign w:val="center"/>
          </w:tcPr>
          <w:p>
            <w:pPr>
              <w:pStyle w:val="TableContents"/>
              <w:bidi w:val="0"/>
              <w:spacing w:before="0" w:after="283"/>
              <w:ind w:left="0" w:right="0" w:hanging="0"/>
              <w:jc w:val="left"/>
            </w:pPr>
            <w:r>
              <w:t> </w:t>
            </w:r>
          </w:p>
        </w:tc>
        <w:tc>
          <w:tcPr>
            <w:tcW w:w="8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w:t>
            </w:r>
          </w:p>
        </w:tc>
        <w:tc>
          <w:tcPr>
            <w:tcW w:w="64" w:type="dxa"/>
            <w:tcBorders/>
            <w:shd w:fill="CCEEFF" w:val="cle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284" w:type="dxa"/>
            <w:tcBorders/>
            <w:shd w:fill="CCEEFF" w:val="clear"/>
            <w:vAlign w:val="center"/>
          </w:tcPr>
          <w:p>
            <w:pPr>
              <w:pStyle w:val="TableContents"/>
              <w:bidi w:val="0"/>
              <w:spacing w:before="0" w:after="283"/>
              <w:ind w:left="0" w:right="0" w:hanging="0"/>
              <w:jc w:val="left"/>
            </w:pPr>
            <w:r>
              <w:t> </w:t>
            </w:r>
          </w:p>
        </w:tc>
        <w:tc>
          <w:tcPr>
            <w:tcW w:w="1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pPr>
            <w:r>
              <w:t> </w:t>
            </w:r>
          </w:p>
        </w:tc>
        <w:tc>
          <w:tcPr>
            <w:tcW w:w="211" w:type="dxa"/>
            <w:tcBorders/>
            <w:shd w:fill="CCEEFF" w:val="clear"/>
            <w:vAlign w:val="center"/>
          </w:tcPr>
          <w:p>
            <w:pPr>
              <w:pStyle w:val="TableContents"/>
              <w:bidi w:val="0"/>
              <w:spacing w:before="0" w:after="283"/>
              <w:ind w:left="0" w:right="0" w:hanging="0"/>
              <w:jc w:val="left"/>
            </w:pPr>
            <w:r>
              <w:t> </w:t>
            </w:r>
          </w:p>
        </w:tc>
        <w:tc>
          <w:tcPr>
            <w:tcW w:w="1001"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8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10,666</w:t>
            </w:r>
          </w:p>
        </w:tc>
        <w:tc>
          <w:tcPr>
            <w:tcW w:w="6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250" w:type="dxa"/>
            <w:tcBorders/>
            <w:shd w:fill="CCEEFF" w:val="clear"/>
            <w:vAlign w:val="center"/>
          </w:tcPr>
          <w:p>
            <w:pPr>
              <w:pStyle w:val="TableContents"/>
              <w:bidi w:val="0"/>
              <w:spacing w:before="0" w:after="283"/>
              <w:ind w:left="0" w:right="0" w:hanging="0"/>
              <w:jc w:val="left"/>
            </w:pPr>
            <w:r>
              <w:t> </w:t>
            </w:r>
          </w:p>
        </w:tc>
        <w:tc>
          <w:tcPr>
            <w:tcW w:w="15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(10,666</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pPr>
            <w:r>
              <w:t> </w:t>
            </w:r>
          </w:p>
        </w:tc>
        <w:tc>
          <w:tcPr>
            <w:tcW w:w="184" w:type="dxa"/>
            <w:tcBorders/>
            <w:shd w:fill="CCEEFF" w:val="clear"/>
            <w:vAlign w:val="center"/>
          </w:tcPr>
          <w:p>
            <w:pPr>
              <w:pStyle w:val="TableContents"/>
              <w:bidi w:val="0"/>
              <w:spacing w:before="0" w:after="283"/>
              <w:ind w:left="0" w:right="0" w:hanging="0"/>
              <w:jc w:val="left"/>
            </w:pPr>
            <w:r>
              <w:t> </w:t>
            </w:r>
          </w:p>
        </w:tc>
        <w:tc>
          <w:tcPr>
            <w:tcW w:w="1028" w:type="dxa"/>
            <w:tcBorders/>
            <w:shd w:fill="CCEEFF" w:val="clear"/>
            <w:vAlign w:val="center"/>
          </w:tcPr>
          <w:p>
            <w:pPr>
              <w:pStyle w:val="TableContents"/>
              <w:bidi w:val="0"/>
              <w:spacing w:before="0" w:after="283"/>
              <w:ind w:left="0" w:right="0" w:hanging="0"/>
              <w:jc w:val="right"/>
            </w:pPr>
            <w:r>
              <w:t>—</w:t>
            </w:r>
          </w:p>
        </w:tc>
        <w:tc>
          <w:tcPr>
            <w:tcW w:w="72" w:type="dxa"/>
            <w:tcBorders/>
            <w:shd w:fill="CCEEFF" w:val="clear"/>
            <w:vAlign w:val="center"/>
          </w:tcPr>
          <w:p>
            <w:pPr>
              <w:pStyle w:val="TableContents"/>
              <w:bidi w:val="0"/>
              <w:spacing w:before="0" w:after="283"/>
              <w:jc w:val="left"/>
            </w:pPr>
            <w:r>
              <w:t> </w:t>
            </w:r>
          </w:p>
        </w:tc>
      </w:tr>
      <w:tr>
        <w:tc>
          <w:tcPr>
            <w:tcW w:w="1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Platform</w:t>
            </w:r>
          </w:p>
        </w:tc>
        <w:tc>
          <w:tcPr>
            <w:tcW w:w="60" w:type="dxa"/>
            <w:tcBorders/>
            <w:shd w:fill="FFFFFF" w:val="clear"/>
            <w:vAlign w:val="center"/>
          </w:tcPr>
          <w:p>
            <w:pPr>
              <w:pStyle w:val="TableContents"/>
              <w:bidi w:val="0"/>
              <w:spacing w:before="0" w:after="283"/>
              <w:jc w:val="left"/>
            </w:pPr>
            <w:r>
              <w:t> </w:t>
            </w:r>
          </w:p>
        </w:tc>
        <w:tc>
          <w:tcPr>
            <w:tcW w:w="199" w:type="dxa"/>
            <w:tcBorders/>
            <w:shd w:fill="FFFFFF" w:val="clear"/>
            <w:vAlign w:val="center"/>
          </w:tcPr>
          <w:p>
            <w:pPr>
              <w:pStyle w:val="TableContents"/>
              <w:bidi w:val="0"/>
              <w:spacing w:before="0" w:after="283"/>
              <w:ind w:left="0" w:right="0" w:hanging="0"/>
              <w:jc w:val="left"/>
            </w:pPr>
            <w:r>
              <w:t> </w:t>
            </w:r>
          </w:p>
        </w:tc>
        <w:tc>
          <w:tcPr>
            <w:tcW w:w="858" w:type="dxa"/>
            <w:tcBorders/>
            <w:shd w:fill="FFFFFF" w:val="clear"/>
            <w:vAlign w:val="center"/>
          </w:tcPr>
          <w:p>
            <w:pPr>
              <w:pStyle w:val="TableContents"/>
              <w:bidi w:val="0"/>
              <w:spacing w:before="0" w:after="283"/>
              <w:ind w:left="0" w:right="0" w:hanging="0"/>
              <w:jc w:val="right"/>
            </w:pPr>
            <w:r>
              <w:rPr>
                <w:rStyle w:val="Emphasis"/>
                <w:rFonts w:ascii="Times New Roman;Times;serif" w:hAnsi="Times New Roman;Times;serif"/>
                <w:sz w:val="20"/>
              </w:rPr>
              <w:t>N/A</w:t>
            </w:r>
          </w:p>
        </w:tc>
        <w:tc>
          <w:tcPr>
            <w:tcW w:w="64"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284" w:type="dxa"/>
            <w:tcBorders/>
            <w:shd w:fill="FFFFFF" w:val="clear"/>
            <w:vAlign w:val="center"/>
          </w:tcPr>
          <w:p>
            <w:pPr>
              <w:pStyle w:val="TableContents"/>
              <w:bidi w:val="0"/>
              <w:spacing w:before="0" w:after="283"/>
              <w:ind w:left="0" w:right="0" w:hanging="0"/>
              <w:jc w:val="left"/>
            </w:pPr>
            <w:r>
              <w:t> </w:t>
            </w:r>
          </w:p>
        </w:tc>
        <w:tc>
          <w:tcPr>
            <w:tcW w:w="1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48,001</w:t>
            </w:r>
          </w:p>
        </w:tc>
        <w:tc>
          <w:tcPr>
            <w:tcW w:w="86" w:type="dxa"/>
            <w:tcBorders/>
            <w:shd w:fill="FFFFFF" w:val="cle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jc w:val="left"/>
            </w:pPr>
            <w:r>
              <w:t> </w:t>
            </w:r>
          </w:p>
        </w:tc>
        <w:tc>
          <w:tcPr>
            <w:tcW w:w="211" w:type="dxa"/>
            <w:tcBorders/>
            <w:shd w:fill="FFFFFF" w:val="clear"/>
            <w:vAlign w:val="center"/>
          </w:tcPr>
          <w:p>
            <w:pPr>
              <w:pStyle w:val="TableContents"/>
              <w:bidi w:val="0"/>
              <w:spacing w:before="0" w:after="283"/>
              <w:ind w:left="0" w:right="0" w:hanging="0"/>
              <w:jc w:val="left"/>
            </w:pPr>
            <w: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48,001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885" w:type="dxa"/>
            <w:tcBorders/>
            <w:shd w:fill="FFFFFF" w:val="clear"/>
            <w:vAlign w:val="center"/>
          </w:tcPr>
          <w:p>
            <w:pPr>
              <w:pStyle w:val="TableContents"/>
              <w:bidi w:val="0"/>
              <w:spacing w:before="0" w:after="283"/>
              <w:ind w:left="0" w:right="0" w:hanging="0"/>
              <w:jc w:val="right"/>
            </w:pPr>
            <w:r>
              <w:rPr>
                <w:rStyle w:val="Emphasis"/>
                <w:rFonts w:ascii="Times New Roman;Times;serif" w:hAnsi="Times New Roman;Times;serif"/>
                <w:sz w:val="20"/>
              </w:rPr>
              <w:t>N/A</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250" w:type="dxa"/>
            <w:tcBorders/>
            <w:shd w:fill="FFFFFF" w:val="clear"/>
            <w:vAlign w:val="center"/>
          </w:tcPr>
          <w:p>
            <w:pPr>
              <w:pStyle w:val="TableContents"/>
              <w:bidi w:val="0"/>
              <w:spacing w:before="0" w:after="283"/>
              <w:ind w:left="0" w:right="0" w:hanging="0"/>
              <w:jc w:val="left"/>
            </w:pPr>
            <w:r>
              <w:t> </w:t>
            </w:r>
          </w:p>
        </w:tc>
        <w:tc>
          <w:tcPr>
            <w:tcW w:w="15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128,522</w:t>
            </w:r>
          </w:p>
        </w:tc>
        <w:tc>
          <w:tcPr>
            <w:tcW w:w="83"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184" w:type="dxa"/>
            <w:tcBorders/>
            <w:shd w:fill="FFFFFF" w:val="clear"/>
            <w:vAlign w:val="center"/>
          </w:tcPr>
          <w:p>
            <w:pPr>
              <w:pStyle w:val="TableContents"/>
              <w:bidi w:val="0"/>
              <w:spacing w:before="0" w:after="283"/>
              <w:ind w:left="0" w:right="0" w:hanging="0"/>
              <w:jc w:val="left"/>
            </w:pPr>
            <w:r>
              <w:t> </w:t>
            </w:r>
          </w:p>
        </w:tc>
        <w:tc>
          <w:tcPr>
            <w:tcW w:w="10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128,522</w:t>
            </w:r>
          </w:p>
        </w:tc>
        <w:tc>
          <w:tcPr>
            <w:tcW w:w="72" w:type="dxa"/>
            <w:tcBorders/>
            <w:shd w:fill="FFFFFF" w:val="clear"/>
            <w:vAlign w:val="center"/>
          </w:tcPr>
          <w:p>
            <w:pPr>
              <w:pStyle w:val="TableContents"/>
              <w:bidi w:val="0"/>
              <w:spacing w:before="0" w:after="283"/>
              <w:jc w:val="left"/>
            </w:pPr>
            <w:r>
              <w:t> </w:t>
            </w:r>
          </w:p>
        </w:tc>
      </w:tr>
      <w:tr>
        <w:tc>
          <w:tcPr>
            <w:tcW w:w="1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Volume-based</w:t>
            </w:r>
          </w:p>
        </w:tc>
        <w:tc>
          <w:tcPr>
            <w:tcW w:w="60" w:type="dxa"/>
            <w:tcBorders/>
            <w:shd w:fill="CCEEFF" w:val="clear"/>
            <w:vAlign w:val="center"/>
          </w:tcPr>
          <w:p>
            <w:pPr>
              <w:pStyle w:val="TableContents"/>
              <w:bidi w:val="0"/>
              <w:spacing w:before="0" w:after="283"/>
              <w:jc w:val="left"/>
            </w:pPr>
            <w: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rPr>
                <w:rStyle w:val="Emphasis"/>
                <w:rFonts w:ascii="Times New Roman;Times;serif" w:hAnsi="Times New Roman;Times;serif"/>
                <w:sz w:val="20"/>
              </w:rPr>
              <w:t>N/A</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2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9,114</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4" w:type="dxa"/>
            <w:tcBorders/>
            <w:shd w:fill="CCEEFF" w:val="clear"/>
            <w:vAlign w:val="center"/>
          </w:tcPr>
          <w:p>
            <w:pPr>
              <w:pStyle w:val="TableContents"/>
              <w:bidi w:val="0"/>
              <w:spacing w:before="0" w:after="283"/>
              <w:jc w:val="left"/>
            </w:pPr>
            <w: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rPr>
                <w:rStyle w:val="Emphasis"/>
                <w:rFonts w:ascii="Times New Roman;Times;serif" w:hAnsi="Times New Roman;Times;serif"/>
                <w:sz w:val="20"/>
              </w:rPr>
              <w:t>N/A</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5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28,099</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28,099</w:t>
            </w:r>
          </w:p>
        </w:tc>
        <w:tc>
          <w:tcPr>
            <w:tcW w:w="72"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1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FFFFFF" w:val="clear"/>
            <w:vAlign w:val="center"/>
          </w:tcPr>
          <w:p>
            <w:pPr>
              <w:pStyle w:val="TableContents"/>
              <w:bidi w:val="0"/>
              <w:spacing w:before="0" w:after="283"/>
              <w:ind w:left="0" w:right="0" w:hanging="0"/>
              <w:jc w:val="left"/>
            </w:pPr>
            <w: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57,115</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ind w:left="0" w:right="0" w:hanging="0"/>
              <w:jc w:val="left"/>
            </w:pPr>
            <w:r>
              <w:t> </w:t>
            </w:r>
          </w:p>
        </w:tc>
        <w:tc>
          <w:tcPr>
            <w:tcW w:w="2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4" w:type="dxa"/>
            <w:tcBorders/>
            <w:shd w:fill="FFFFFF" w:val="clear"/>
            <w:vAlign w:val="center"/>
          </w:tcPr>
          <w:p>
            <w:pPr>
              <w:pStyle w:val="TableContents"/>
              <w:bidi w:val="0"/>
              <w:spacing w:before="0" w:after="283"/>
              <w:ind w:left="0" w:right="0" w:hanging="0"/>
              <w:jc w:val="left"/>
            </w:pPr>
            <w: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57,115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156,621</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156,621</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Recent</w:t>
      </w:r>
      <w:r>
        <w:rPr>
          <w:rFonts w:ascii="Times New Roman" w:hAnsi="Times New Roman"/>
          <w:caps w:val="false"/>
          <w:smallCaps w:val="false"/>
          <w:sz w:val="20"/>
        </w:rPr>
        <w:t> </w:t>
      </w:r>
      <w:r>
        <w:rPr>
          <w:rFonts w:ascii="Times New Roman" w:hAnsi="Times New Roman"/>
          <w:b/>
          <w:i/>
          <w:caps w:val="false"/>
          <w:smallCaps w:val="false"/>
          <w:sz w:val="20"/>
        </w:rPr>
        <w:t>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Recently Adopted Accounting Pronouncements</w:t>
      </w:r>
      <w:r>
        <w:rPr>
          <w:rFonts w:ascii="Times New Roman" w:hAnsi="Times New Roman"/>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the Financial Accounting Standards Board (“FASB”) issued Accounting Standards Update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Financial Instruments-Credit Losses (Topic </w:t>
      </w:r>
      <w:r>
        <w:rPr>
          <w:rStyle w:val="Emphasis"/>
          <w:rFonts w:ascii="Times New Roman" w:hAnsi="Times New Roman"/>
          <w:i/>
          <w:caps w:val="false"/>
          <w:smallCaps w:val="false"/>
          <w:sz w:val="20"/>
        </w:rPr>
        <w:t>326</w:t>
      </w:r>
      <w:r>
        <w:rPr>
          <w:rFonts w:ascii="Times New Roman" w:hAnsi="Times New Roman"/>
          <w:i/>
          <w:caps w:val="false"/>
          <w:smallCaps w:val="false"/>
          <w:sz w:val="20"/>
        </w:rPr>
        <w:t>):</w:t>
      </w:r>
      <w:r>
        <w:rPr>
          <w:rFonts w:ascii="Times New Roman" w:hAnsi="Times New Roman"/>
          <w:caps w:val="false"/>
          <w:smallCaps w:val="false"/>
          <w:sz w:val="20"/>
        </w:rPr>
        <w:t xml:space="preserve"> </w:t>
      </w:r>
      <w:r>
        <w:rPr>
          <w:rFonts w:ascii="Times New Roman" w:hAnsi="Times New Roman"/>
          <w:i/>
          <w:caps w:val="false"/>
          <w:smallCaps w:val="false"/>
          <w:sz w:val="20"/>
        </w:rPr>
        <w:t>Measurement of Credit Losses for Accounts Receivable and Contract Assets. </w:t>
      </w:r>
      <w:r>
        <w:rPr>
          <w:rFonts w:ascii="Times New Roman" w:hAnsi="Times New Roman"/>
          <w:caps w:val="false"/>
          <w:smallCaps w:val="false"/>
          <w:sz w:val="20"/>
        </w:rPr>
        <w:t xml:space="preserve">This ASU provides a practical expedient to assume that conditions as of the balance sheet date remain unchanged over the life of the asset when estimating expected credit losses for current accounts receivable and current contract assets arising from transactions accounted for under Accounting Standards Codification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The Company adopted this ASU on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 xml:space="preserve">and elected to adopt the provisions of the practical expedient prospectively. The adoption of this ASU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effect on the Company’s condensed consolidated financial statements.</w:t>
      </w:r>
    </w:p>
    <w:p>
      <w:pPr>
        <w:pStyle w:val="TextBody"/>
        <w:bidi w:val="0"/>
        <w:spacing w:before="0" w:after="0"/>
        <w:ind w:left="0" w:right="0" w:firstLine="360"/>
        <w:jc w:val="left"/>
      </w:pPr>
      <w:r>
        <w:t> </w:t>
      </w:r>
    </w:p>
    <w:p>
      <w:pPr>
        <w:pStyle w:val="TextBody"/>
        <w:bidi w:val="0"/>
        <w:spacing w:before="0" w:after="0"/>
        <w:ind w:left="0" w:right="0" w:firstLine="360"/>
        <w:jc w:val="left"/>
      </w:pPr>
      <w:r>
        <w:rPr>
          <w:rFonts w:ascii="Times New Roman;Times;serif" w:hAnsi="Times New Roman;Times;serif"/>
          <w:i/>
          <w:sz w:val="20"/>
        </w:rPr>
        <w:t>Recently Issued Accounting Pronouncements</w:t>
      </w:r>
      <w:r>
        <w:rPr>
          <w:rFonts w:ascii="Times New Roman;Times;serif" w:hAnsi="Times New Roman;Times;serif"/>
          <w:sz w:val="20"/>
        </w:rPr>
        <w:t> </w:t>
      </w:r>
      <w:r>
        <w:rPr>
          <w:rStyle w:val="Emphasis"/>
          <w:rFonts w:ascii="Times New Roman;Times;serif" w:hAnsi="Times New Roman;Times;serif"/>
          <w:i/>
          <w:sz w:val="20"/>
        </w:rPr>
        <w:t>Not</w:t>
      </w:r>
      <w:r>
        <w:rPr>
          <w:rFonts w:ascii="Times New Roman;Times;serif" w:hAnsi="Times New Roman;Times;serif"/>
          <w:sz w:val="20"/>
        </w:rPr>
        <w:t> </w:t>
      </w:r>
      <w:r>
        <w:rPr>
          <w:rFonts w:ascii="Times New Roman;Times;serif" w:hAnsi="Times New Roman;Times;serif"/>
          <w:i/>
          <w:sz w:val="20"/>
        </w:rPr>
        <w:t>Yet Adopted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w:t>
      </w:r>
      <w:r>
        <w:rPr>
          <w:rFonts w:ascii="Times New Roman" w:hAnsi="Times New Roman"/>
          <w:i/>
          <w:caps w:val="false"/>
          <w:smallCaps w:val="false"/>
          <w:sz w:val="20"/>
        </w:rPr>
        <w:t xml:space="preserve">Income Statement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Reporting Comprehensive Income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Disaggregation of Income Statement Expenses</w:t>
      </w:r>
      <w:r>
        <w:rPr>
          <w:rFonts w:ascii="Times New Roman" w:hAnsi="Times New Roman"/>
          <w:caps w:val="false"/>
          <w:smallCaps w:val="false"/>
          <w:sz w:val="20"/>
        </w:rPr>
        <w:t xml:space="preserve">. This ASU requires the disaggregation of certain expenses in the notes to the consolidated financial statements, to provide enhanced transparency into the expense captions presented on the face of the income statement. Additionally, in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FASB issued ASU </w:t>
      </w:r>
      <w:r>
        <w:rPr>
          <w:rStyle w:val="Emphasis"/>
          <w:rFonts w:ascii="Times New Roman" w:hAnsi="Times New Roman"/>
          <w:i/>
          <w:caps w:val="false"/>
          <w:smallCaps w:val="false"/>
          <w:sz w:val="20"/>
        </w:rPr>
        <w:t>2025</w:t>
      </w:r>
      <w:r>
        <w:rPr>
          <w:rFonts w:ascii="Times New Roman" w:hAnsi="Times New Roman"/>
          <w:i/>
          <w:caps w:val="false"/>
          <w:smallCaps w:val="false"/>
          <w:sz w:val="20"/>
        </w:rPr>
        <w:t>-</w:t>
      </w:r>
      <w:r>
        <w:rPr>
          <w:rStyle w:val="Emphasis"/>
          <w:rFonts w:ascii="Times New Roman" w:hAnsi="Times New Roman"/>
          <w:i/>
          <w:caps w:val="false"/>
          <w:smallCaps w:val="false"/>
          <w:sz w:val="20"/>
        </w:rPr>
        <w:t>01</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Statement-Reporting Comprehensive Income-Expense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Clarifying the Effective Date</w:t>
      </w:r>
      <w:r>
        <w:rPr>
          <w:rFonts w:ascii="Times New Roman" w:hAnsi="Times New Roman"/>
          <w:caps w:val="false"/>
          <w:smallCaps w:val="false"/>
          <w:sz w:val="20"/>
        </w:rPr>
        <w:t xml:space="preserve"> to clarify the effective date of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This ASU is effective for annual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for interim periods within annual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with early adoption permitted. The Company is currently evaluating the impact of this ASU on the condensed consolidated financial statements and related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i/>
          <w:caps w:val="false"/>
          <w:smallCaps w:val="false"/>
          <w:sz w:val="20"/>
        </w:rPr>
        <w:t>, Intangibles </w:t>
      </w:r>
      <w:r>
        <w:rPr>
          <w:rFonts w:ascii="Times New Roman" w:hAnsi="Times New Roman"/>
          <w:caps w:val="false"/>
          <w:smallCaps w:val="false"/>
          <w:sz w:val="20"/>
        </w:rPr>
        <w:t xml:space="preserve">– </w:t>
      </w:r>
      <w:r>
        <w:rPr>
          <w:rFonts w:ascii="Times New Roman" w:hAnsi="Times New Roman"/>
          <w:i/>
          <w:caps w:val="false"/>
          <w:smallCaps w:val="false"/>
          <w:sz w:val="20"/>
        </w:rPr>
        <w:t>Goodwill and Other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Internal-Use Software (Subtopic </w:t>
      </w:r>
      <w:r>
        <w:rPr>
          <w:rStyle w:val="Emphasis"/>
          <w:rFonts w:ascii="Times New Roman" w:hAnsi="Times New Roman"/>
          <w:i/>
          <w:caps w:val="false"/>
          <w:smallCaps w:val="false"/>
          <w:sz w:val="20"/>
        </w:rPr>
        <w:t>350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xml:space="preserve">), </w:t>
      </w:r>
      <w:r>
        <w:rPr>
          <w:rFonts w:ascii="Times New Roman" w:hAnsi="Times New Roman"/>
          <w:caps w:val="false"/>
          <w:smallCaps w:val="false"/>
          <w:sz w:val="20"/>
        </w:rPr>
        <w:t xml:space="preserve">related to accounting for internal-use software costs. The amendments in this ASU improve the operability of the guidance by removing all references to software development project stages so that the guidance is neutral to different software development methods. This ASU is effective for annual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including interim periods within those fiscal years, and permits prospective, modified prospective or retrospective adoption. The Company is currently evaluating the impact of this ASU on the condensed consolidated financial statements and related disclosures.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w:t>
      </w:r>
      <w:r>
        <w:rPr>
          <w:rFonts w:ascii="Times New Roman" w:hAnsi="Times New Roman"/>
          <w:i/>
          <w:caps w:val="false"/>
          <w:smallCaps w:val="false"/>
          <w:sz w:val="20"/>
        </w:rPr>
        <w:t xml:space="preserve">Interim Reporting (Topic </w:t>
      </w:r>
      <w:r>
        <w:rPr>
          <w:rStyle w:val="Emphasis"/>
          <w:rFonts w:ascii="Times New Roman" w:hAnsi="Times New Roman"/>
          <w:i/>
          <w:caps w:val="false"/>
          <w:smallCaps w:val="false"/>
          <w:sz w:val="20"/>
        </w:rPr>
        <w:t>270</w:t>
      </w:r>
      <w:r>
        <w:rPr>
          <w:rFonts w:ascii="Times New Roman" w:hAnsi="Times New Roman"/>
          <w:i/>
          <w:caps w:val="false"/>
          <w:smallCaps w:val="false"/>
          <w:sz w:val="20"/>
        </w:rPr>
        <w:t>): Narrow-Scope Improvements,</w:t>
      </w:r>
      <w:r>
        <w:rPr>
          <w:rFonts w:ascii="Times New Roman" w:hAnsi="Times New Roman"/>
          <w:caps w:val="false"/>
          <w:smallCaps w:val="false"/>
          <w:sz w:val="20"/>
        </w:rPr>
        <w:t xml:space="preserve"> which intends to improve the navigability of the guidance in ASC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w:t>
      </w:r>
      <w:r>
        <w:rPr>
          <w:rFonts w:ascii="Times New Roman" w:hAnsi="Times New Roman"/>
          <w:i/>
          <w:caps w:val="false"/>
          <w:smallCaps w:val="false"/>
          <w:sz w:val="20"/>
        </w:rPr>
        <w:t>Interim Reporting</w:t>
      </w:r>
      <w:r>
        <w:rPr>
          <w:rFonts w:ascii="Times New Roman" w:hAnsi="Times New Roman"/>
          <w:caps w:val="false"/>
          <w:smallCaps w:val="false"/>
          <w:sz w:val="20"/>
        </w:rPr>
        <w:t xml:space="preserve">, and clarify when it applies. The amendments also provide additional guidance on what disclosures should be provided in interim reporting periods. This ASU is effective for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including interim periods within those fiscal years, and permits prospective or full retrospective adoption. Early adoption is permitted. The Company is currently evaluating the impact of this ASU on the condensed consolidated financial statements and related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jc w:val="left"/>
      </w:pPr>
      <w:r>
        <w:t xml:space="preserve">  </w:t>
      </w:r>
    </w:p>
    <w:p>
      <w:pPr>
        <w:pStyle w:val="TextBody"/>
        <w:bidi w:val="0"/>
        <w:spacing w:before="0" w:after="0"/>
        <w:jc w:val="left"/>
      </w:pPr>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firstLine="360"/>
        <w:jc w:val="both"/>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w:t>
      </w:r>
      <w:r>
        <w:rPr>
          <w:rFonts w:ascii="Times New Roman" w:hAnsi="Times New Roman"/>
          <w:i/>
          <w:caps w:val="false"/>
          <w:smallCaps w:val="false"/>
          <w:sz w:val="20"/>
        </w:rPr>
        <w:t>Codification Improvements</w:t>
      </w:r>
      <w:r>
        <w:rPr>
          <w:rFonts w:ascii="Times New Roman" w:hAnsi="Times New Roman"/>
          <w:caps w:val="false"/>
          <w:smallCaps w:val="false"/>
          <w:sz w:val="20"/>
        </w:rPr>
        <w:t xml:space="preserve">, which addresses suggestions received from stakeholders regarding the Accounting Standards Codification and makes other incremental improvements to U.S. GAAP. The update represents changes to the Codification that clarify, correct errors in or make other improvements to a variety of topics that are intended to make it easier to understand and apply. This ASU is effective for fiscal years beginning after </w:t>
      </w:r>
      <w:r>
        <w:rPr>
          <w:rStyle w:val="Emphasis"/>
          <w:rFonts w:ascii="Times New Roman" w:hAnsi="Times New Roman"/>
          <w:caps w:val="false"/>
          <w:smallCaps w:val="false"/>
          <w:sz w:val="20"/>
        </w:rPr>
        <w:t>December 15, 2026, </w:t>
      </w:r>
      <w:r>
        <w:rPr>
          <w:rFonts w:ascii="Times New Roman" w:hAnsi="Times New Roman"/>
          <w:caps w:val="false"/>
          <w:smallCaps w:val="false"/>
          <w:sz w:val="20"/>
        </w:rPr>
        <w:t xml:space="preserve">and interim periods within those fiscal years. Entities are required to apply the amendments to ASC </w:t>
      </w:r>
      <w:r>
        <w:rPr>
          <w:rStyle w:val="Emphasis"/>
          <w:rFonts w:ascii="Times New Roman" w:hAnsi="Times New Roman"/>
          <w:caps w:val="false"/>
          <w:smallCaps w:val="false"/>
          <w:sz w:val="20"/>
        </w:rPr>
        <w:t>260,</w:t>
      </w:r>
      <w:r>
        <w:rPr>
          <w:rFonts w:ascii="Times New Roman" w:hAnsi="Times New Roman"/>
          <w:caps w:val="false"/>
          <w:smallCaps w:val="false"/>
          <w:sz w:val="20"/>
        </w:rPr>
        <w:t xml:space="preserve"> </w:t>
      </w:r>
      <w:r>
        <w:rPr>
          <w:rFonts w:ascii="Times New Roman" w:hAnsi="Times New Roman"/>
          <w:i/>
          <w:caps w:val="false"/>
          <w:smallCaps w:val="false"/>
          <w:sz w:val="20"/>
        </w:rPr>
        <w:t>Earnings</w:t>
      </w:r>
      <w:r>
        <w:rPr>
          <w:rFonts w:ascii="Times New Roman" w:hAnsi="Times New Roman"/>
          <w:caps w:val="false"/>
          <w:smallCaps w:val="false"/>
          <w:sz w:val="20"/>
        </w:rPr>
        <w:t> </w:t>
      </w:r>
      <w:r>
        <w:rPr>
          <w:rFonts w:ascii="Times New Roman" w:hAnsi="Times New Roman"/>
          <w:i/>
          <w:caps w:val="false"/>
          <w:smallCaps w:val="false"/>
          <w:sz w:val="20"/>
        </w:rPr>
        <w:t>Per</w:t>
      </w:r>
      <w:r>
        <w:rPr>
          <w:rFonts w:ascii="Times New Roman" w:hAnsi="Times New Roman"/>
          <w:caps w:val="false"/>
          <w:smallCaps w:val="false"/>
          <w:sz w:val="20"/>
        </w:rPr>
        <w:t> </w:t>
      </w:r>
      <w:r>
        <w:rPr>
          <w:rFonts w:ascii="Times New Roman" w:hAnsi="Times New Roman"/>
          <w:i/>
          <w:caps w:val="false"/>
          <w:smallCaps w:val="false"/>
          <w:sz w:val="20"/>
        </w:rPr>
        <w:t>Share</w:t>
      </w:r>
      <w:r>
        <w:rPr>
          <w:rFonts w:ascii="Times New Roman" w:hAnsi="Times New Roman"/>
          <w:caps w:val="false"/>
          <w:smallCaps w:val="false"/>
          <w:sz w:val="20"/>
        </w:rPr>
        <w:t xml:space="preserve">, retrospectively. All other amendments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applied prospectively or retrospectively. Early adoption is permitted. The Company is currently evaluating the impact of this ASU on the condensed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Management has reviewed other recently issued accounting pronouncements issued or proposed by the FASB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any of these accounting pronouncements has had or will have a material impact on the condensed consolidated financial statements.</w:t>
      </w:r>
    </w:p>
    <w:p>
      <w:pPr>
        <w:pStyle w:val="TextBody"/>
        <w:bidi w:val="0"/>
        <w:ind w:left="0" w:right="0" w:firstLine="360"/>
        <w:jc w:val="left"/>
      </w:pPr>
      <w:r>
        <w:t xml:space="preserve">  </w:t>
      </w:r>
    </w:p>
    <w:p>
      <w:pPr>
        <w:pStyle w:val="TextBody"/>
        <w:bidi w:val="0"/>
        <w:spacing w:before="0" w:after="0"/>
        <w:ind w:left="0" w:right="0" w:hanging="0"/>
        <w:jc w:val="left"/>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REVENUE FROM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recognizes revenue in accordance with FASB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Revenue from Contracts with Customers, and its related amendments (collectively known as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606</w:t>
      </w:r>
      <w:r>
        <w:rPr>
          <w:rFonts w:ascii="Times New Roman" w:hAnsi="Times New Roman"/>
          <w:caps w:val="false"/>
          <w:smallCaps w:val="false"/>
          <w:sz w:val="20"/>
        </w:rPr>
        <w:t> outlines a single comprehensive model to use in accounting for revenue arising from contracts with customers. Revenue is recognized when control of products or services is transferred to customers, in an amount that reflects the consideration the Company expects to be entitled to in exchange for those promised products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determines revenue recognition through the following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steps:</w:t>
      </w:r>
    </w:p>
    <w:p>
      <w:pPr>
        <w:pStyle w:val="TextBody"/>
        <w:bidi w:val="0"/>
        <w:spacing w:before="0" w:after="0"/>
        <w:ind w:left="0" w:right="0" w:firstLine="36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60"/>
        <w:gridCol w:w="170"/>
        <w:gridCol w:w="753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Identification of the contract, or contracts, with a customer</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7535" w:type="dxa"/>
            <w:tcBorders/>
            <w:vAlign w:val="center"/>
          </w:tcPr>
          <w:p>
            <w:pPr>
              <w:pStyle w:val="TableContents"/>
              <w:bidi w:val="0"/>
              <w:spacing w:before="0" w:after="283"/>
              <w:jc w:val="left"/>
            </w:pPr>
            <w:r>
              <w:t>Identification of the performance obligations in the contract</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7535" w:type="dxa"/>
            <w:tcBorders/>
            <w:vAlign w:val="center"/>
          </w:tcPr>
          <w:p>
            <w:pPr>
              <w:pStyle w:val="TableContents"/>
              <w:bidi w:val="0"/>
              <w:spacing w:before="0" w:after="283"/>
              <w:jc w:val="left"/>
            </w:pPr>
            <w:r>
              <w:t>Determination of the transaction price</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7535" w:type="dxa"/>
            <w:tcBorders/>
            <w:vAlign w:val="center"/>
          </w:tcPr>
          <w:p>
            <w:pPr>
              <w:pStyle w:val="TableContents"/>
              <w:bidi w:val="0"/>
              <w:spacing w:before="0" w:after="283"/>
              <w:jc w:val="left"/>
            </w:pPr>
            <w:r>
              <w:t>Allocation of the transaction price to the performance obligations in the contract</w:t>
            </w:r>
          </w:p>
        </w:tc>
      </w:tr>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283"/>
              <w:jc w:val="left"/>
            </w:pPr>
            <w:r>
              <w:t>●</w:t>
            </w:r>
          </w:p>
        </w:tc>
        <w:tc>
          <w:tcPr>
            <w:tcW w:w="7535" w:type="dxa"/>
            <w:tcBorders/>
            <w:vAlign w:val="center"/>
          </w:tcPr>
          <w:p>
            <w:pPr>
              <w:pStyle w:val="TableContents"/>
              <w:bidi w:val="0"/>
              <w:spacing w:before="0" w:after="283"/>
              <w:jc w:val="left"/>
            </w:pPr>
            <w:r>
              <w:t>Recognition of revenue when, or as, performance obligations are satisfied</w:t>
            </w:r>
          </w:p>
        </w:tc>
      </w:tr>
    </w:tbl>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accounts for a contract when it has approval and commitment from both parties, the rights of the parties are identified, payment terms are identified, the contract has commercial substance, and collectibility of consideration is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enters into contracts that can include various combinations of licenses, products and services, some of which are distinct and are accounted for as separate performance obligations. For contracts with any combination of the Company’s products and services, distinct performance obligations are accounted for separately. For contracts with these multiple performance obligations, the Company allocates the transaction price of the contract to each performance obligation on a relative basis using the standalone selling price (“SSP”) attributed to each performance obligation. Revenue for each of these components is recognized as described below and reported as either Platform or Volume-based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Platform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Platform revenue is derived from the following primary offerings: licenses for software (other than Cimetrix runtime licenses) and related software maintenance and technical support services; software-as-a-service (“SaaS”); engineering services; fixed fees associated with CV® systems; and licenses and purchase contracts for DirectScan™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Revenue from licenses for software, other than Cimetrix runtime licenses, is recognized depending on whether the license is perpetual or time-based. Perpetual (</w:t>
      </w:r>
      <w:r>
        <w:rPr>
          <w:rStyle w:val="Emphasis"/>
          <w:rFonts w:ascii="Times New Roman" w:hAnsi="Times New Roman"/>
          <w:caps w:val="false"/>
          <w:smallCaps w:val="false"/>
          <w:sz w:val="20"/>
        </w:rPr>
        <w:t>one</w:t>
      </w:r>
      <w:r>
        <w:rPr>
          <w:rFonts w:ascii="Times New Roman" w:hAnsi="Times New Roman"/>
          <w:caps w:val="false"/>
          <w:smallCaps w:val="false"/>
          <w:sz w:val="20"/>
        </w:rPr>
        <w:t>-time charge) license software is recognized at the time of the inception of the arrangement when control transfers to the customers as the software license is considered as a separate performance obligation from the services offered by the Company. Revenue from time-based-licensed software is allocated to each performance obligation and is recognized either at a point in time or over time as follows. The license component is recognized at the time when control transfers to customers. Revenue from related software maintenance and technical support services, or post-contract support, is recognized over the contract term on a straight-line basis because the Company generally provides (i) support and (ii) certain software updates on a when-and-if available basis over the contract term.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Revenue from SaaS arrangements, which allow for the use of a software product or service over a contractually determined period of time without the customer taking possession of the software, e.g., cloud-based or via a network of secureWISE servers, is accounted for as a subscription and is recognized as revenue ratably, on a straight-line basis, over the subscription period beginning on the date the service is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made available to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Revenue from engineering services and fixed fees associated with CV systems (including Characterization services) is recognized primarily as services are performed, using a percentage of completion method based on costs or labor-hours inputs, whichever is the most appropriate measure of the progress towards completion of the contract. The estimation of percentage of completion method is complex and subject to many variables that require significant judgment. Please refer to the “Significant Judgments” section of this Note for further discussion. When a CV system engagement includes CV test chip designs that were previously developed by the Company and reused with only minimal rework or were previously developed by the Company and adapted to different customer applications with limited rework, the revenue allocated to these CV test chip designs is recognized when the rework is completed at a point in time upon delivery or contract signature, whichever is later. All revenue associated with other CV test chip designs are recognized over time using a percentage of completion method.</w:t>
      </w:r>
    </w:p>
    <w:p>
      <w:pPr>
        <w:pStyle w:val="TextBody"/>
        <w:bidi w:val="0"/>
        <w:spacing w:before="0" w:after="0"/>
        <w:ind w:left="0" w:right="0" w:hanging="0"/>
        <w:jc w:val="left"/>
      </w:pPr>
      <w:r>
        <w:t> </w:t>
      </w:r>
    </w:p>
    <w:p>
      <w:pPr>
        <w:pStyle w:val="TextBody"/>
        <w:bidi w:val="0"/>
        <w:spacing w:before="0" w:after="0"/>
        <w:ind w:left="0" w:right="0" w:firstLine="360"/>
        <w:jc w:val="both"/>
      </w:pPr>
      <w:r>
        <w:rPr>
          <w:rFonts w:ascii="Times New Roman" w:hAnsi="Times New Roman"/>
          <w:caps w:val="false"/>
          <w:smallCaps w:val="false"/>
          <w:sz w:val="20"/>
        </w:rPr>
        <w:t xml:space="preserve">Revenue from purchase contracts for DirectScan systems is recognized at a point in time when the Company’s performance obligations have been completed, and the customer has accepted the product. Revenue from licenses for hardware is recognized depending on whether the Company classifies the contract as an operating or a sales-type lease. Where the customer controls the use of identified assets for a period of time defined in a contract, it will be classified as a sales-type lease if it meets certain criteria under ASC Topic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w:t>
      </w:r>
      <w:r>
        <w:rPr>
          <w:rFonts w:ascii="Times New Roman" w:hAnsi="Times New Roman"/>
          <w:i/>
          <w:caps w:val="false"/>
          <w:smallCaps w:val="false"/>
          <w:sz w:val="20"/>
        </w:rPr>
        <w:t>Leases</w:t>
      </w:r>
      <w:r>
        <w:rPr>
          <w:rFonts w:ascii="Times New Roman" w:hAnsi="Times New Roman"/>
          <w:caps w:val="false"/>
          <w:smallCaps w:val="false"/>
          <w:sz w:val="20"/>
        </w:rPr>
        <w:t>, otherwise, it will be classified as an operating lease. Operating lease revenue is recognized on a straight-line basis over the lease term. Sales-type lease revenue and corresponding lease receivables are recognized at lease commencement based on the present value of the future lease payments, and related interest income on lease receivable is recognized over the lease term and recorded under Platform revenue in the condensed consolidated statements of operations and comprehensive income (loss). Payments under sales-type leases are discounted using the interest rate implicit in the lease. When the Company’s leases are embedded in contracts with customers that include non-lease performance obligations, the Company allocates consideration in the contract between lease and non-lease components based on their relative SSPs. Assets subject to operating leases are included in property and equipment and subject to depreciation. Assets subject to sales-type leases are derecognized from property and equipment, net at lease commencement and a net investment in the lease asset is recognized in prepaid expenses and other current assets and other non-current assets in the condensed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Volume-based</w:t>
      </w:r>
      <w:r>
        <w:rPr>
          <w:rFonts w:ascii="Times New Roman" w:hAnsi="Times New Roman"/>
          <w:caps w:val="false"/>
          <w:smallCaps w:val="false"/>
          <w:sz w:val="20"/>
        </w:rPr>
        <w:t> </w:t>
      </w:r>
      <w:r>
        <w:rPr>
          <w:rFonts w:ascii="Times New Roman" w:hAnsi="Times New Roman"/>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Volume-based revenue is derived from Cimetrix runtime licenses, secureWISE data, and Gainshare. Accordingly, this revenue typically fluctuates based on customers’ production tool shipments and deployment cycles, data transferred through the secureWISE network, and wafer manufacturing volume, as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Revenue from Cimetrix runtime licenses is recognized at a point in time when the software is delivered via issuance of a license file. Revenue from secureWISE data is recognized over the period the data transfer is incurred. Revenue from Gainshare is typically recognized at a point in time based on customers’ wafer manufacturing volumes. Please refer to the “Significant Judgments” section of this Note for discussion about the Company’s judgments and estimates pertaining to Gainshare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disaggregates revenue from contracts with customers into categories that depict how the nature, amount, timing, and uncertainty of revenue and cash flows are affected by economic factors, and how it could provide meaningful information to its management and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shows the percentage of total revenue that is classified as recurring and upfront for the periods presented:</w:t>
      </w:r>
    </w:p>
    <w:p>
      <w:pPr>
        <w:pStyle w:val="TextBody"/>
        <w:bidi w:val="0"/>
        <w:spacing w:before="0" w:after="0"/>
        <w:ind w:left="0" w:right="0" w:hanging="0"/>
        <w:jc w:val="left"/>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1790"/>
        <w:gridCol w:w="60"/>
        <w:gridCol w:w="172"/>
        <w:gridCol w:w="962"/>
        <w:gridCol w:w="531"/>
        <w:gridCol w:w="172"/>
        <w:gridCol w:w="172"/>
        <w:gridCol w:w="962"/>
        <w:gridCol w:w="185"/>
        <w:gridCol w:w="60"/>
        <w:gridCol w:w="167"/>
        <w:gridCol w:w="933"/>
        <w:gridCol w:w="515"/>
        <w:gridCol w:w="167"/>
        <w:gridCol w:w="167"/>
        <w:gridCol w:w="933"/>
        <w:gridCol w:w="185"/>
      </w:tblGrid>
      <w:tr>
        <w:tc>
          <w:tcPr>
            <w:tcW w:w="179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7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79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531"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72" w:type="dxa"/>
            <w:tcBorders/>
            <w:shd w:fill="FFFFFF" w:val="clear"/>
            <w:vAlign w:val="center"/>
          </w:tcPr>
          <w:p>
            <w:pPr>
              <w:pStyle w:val="TableContents"/>
              <w:bidi w:val="0"/>
              <w:spacing w:before="0" w:after="283"/>
              <w:ind w:left="0" w:right="0" w:hanging="0"/>
              <w:jc w:val="left"/>
            </w:pPr>
            <w:r>
              <w:t> </w:t>
            </w:r>
          </w:p>
        </w:tc>
        <w:tc>
          <w:tcPr>
            <w:tcW w:w="11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51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ind w:left="0" w:right="0" w:hanging="0"/>
              <w:jc w:val="left"/>
            </w:pPr>
            <w:r>
              <w:t> </w:t>
            </w:r>
          </w:p>
        </w:tc>
        <w:tc>
          <w:tcPr>
            <w:tcW w:w="11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Recurring revenue (1)</w:t>
            </w:r>
          </w:p>
        </w:tc>
        <w:tc>
          <w:tcPr>
            <w:tcW w:w="60"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5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2" w:type="dxa"/>
            <w:tcBorders/>
            <w:shd w:fill="CCEEFF" w:val="clear"/>
            <w:vAlign w:val="center"/>
          </w:tcPr>
          <w:p>
            <w:pPr>
              <w:pStyle w:val="TableContents"/>
              <w:bidi w:val="0"/>
              <w:spacing w:before="0" w:after="283"/>
              <w:jc w:val="left"/>
            </w:pPr>
            <w:r>
              <w:t> </w:t>
            </w:r>
          </w:p>
        </w:tc>
        <w:tc>
          <w:tcPr>
            <w:tcW w:w="172" w:type="dxa"/>
            <w:tcBorders/>
            <w:shd w:fill="CCEEFF" w:val="clear"/>
            <w:vAlign w:val="center"/>
          </w:tcPr>
          <w:p>
            <w:pPr>
              <w:pStyle w:val="TableContents"/>
              <w:bidi w:val="0"/>
              <w:spacing w:before="0" w:after="283"/>
              <w:ind w:left="0" w:right="0" w:hanging="0"/>
              <w:jc w:val="left"/>
            </w:pPr>
            <w: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5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7" w:type="dxa"/>
            <w:tcBorders/>
            <w:shd w:fill="CCEEFF" w:val="clear"/>
            <w:vAlign w:val="center"/>
          </w:tcPr>
          <w:p>
            <w:pPr>
              <w:pStyle w:val="TableContents"/>
              <w:bidi w:val="0"/>
              <w:spacing w:before="0" w:after="283"/>
              <w:jc w:val="left"/>
            </w:pPr>
            <w:r>
              <w:t> </w:t>
            </w:r>
          </w:p>
        </w:tc>
        <w:tc>
          <w:tcPr>
            <w:tcW w:w="167" w:type="dxa"/>
            <w:tcBorders/>
            <w:shd w:fill="CCEEFF" w:val="clear"/>
            <w:vAlign w:val="center"/>
          </w:tcPr>
          <w:p>
            <w:pPr>
              <w:pStyle w:val="TableContents"/>
              <w:bidi w:val="0"/>
              <w:spacing w:before="0" w:after="283"/>
              <w:ind w:left="0" w:right="0" w:hanging="0"/>
              <w:jc w:val="left"/>
            </w:pPr>
            <w: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Upfront revenue (2)</w:t>
            </w:r>
          </w:p>
        </w:tc>
        <w:tc>
          <w:tcPr>
            <w:tcW w:w="60" w:type="dxa"/>
            <w:tcBorders/>
            <w:shd w:fill="FFFFFF" w:val="clear"/>
            <w:vAlign w:val="center"/>
          </w:tcPr>
          <w:p>
            <w:pPr>
              <w:pStyle w:val="TableContents"/>
              <w:bidi w:val="0"/>
              <w:spacing w:before="0" w:after="283"/>
              <w:jc w:val="left"/>
            </w:pPr>
            <w: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53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2" w:type="dxa"/>
            <w:tcBorders/>
            <w:shd w:fill="FFFFFF" w:val="clear"/>
            <w:vAlign w:val="center"/>
          </w:tcPr>
          <w:p>
            <w:pPr>
              <w:pStyle w:val="TableContents"/>
              <w:bidi w:val="0"/>
              <w:spacing w:before="0" w:after="283"/>
              <w:jc w:val="left"/>
            </w:pPr>
            <w: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51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7" w:type="dxa"/>
            <w:tcBorders/>
            <w:shd w:fill="FFFFFF" w:val="clear"/>
            <w:vAlign w:val="center"/>
          </w:tcPr>
          <w:p>
            <w:pPr>
              <w:pStyle w:val="TableContents"/>
              <w:bidi w:val="0"/>
              <w:spacing w:before="0" w:after="283"/>
              <w:jc w:val="left"/>
            </w:pPr>
            <w: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pPr>
            <w: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5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2" w:type="dxa"/>
            <w:tcBorders/>
            <w:shd w:fill="CCEEFF" w:val="clear"/>
            <w:vAlign w:val="center"/>
          </w:tcPr>
          <w:p>
            <w:pPr>
              <w:pStyle w:val="TableContents"/>
              <w:bidi w:val="0"/>
              <w:spacing w:before="0" w:after="283"/>
              <w:jc w:val="left"/>
            </w:pPr>
            <w: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7" w:type="dxa"/>
            <w:tcBorders/>
            <w:shd w:fill="CCEEFF" w:val="clear"/>
            <w:vAlign w:val="center"/>
          </w:tcPr>
          <w:p>
            <w:pPr>
              <w:pStyle w:val="TableContents"/>
              <w:bidi w:val="0"/>
              <w:spacing w:before="0" w:after="283"/>
              <w:jc w:val="left"/>
            </w:pPr>
            <w: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pPr>
      <w:r/>
    </w:p>
    <w:tbl>
      <w:tblPr>
        <w:tblW w:w="10205" w:type="dxa"/>
        <w:jc w:val="left"/>
        <w:tblInd w:w="0" w:type="dxa"/>
        <w:tblLayout w:type="fixed"/>
        <w:tblCellMar>
          <w:top w:w="0" w:type="dxa"/>
          <w:left w:w="0" w:type="dxa"/>
          <w:bottom w:w="0" w:type="dxa"/>
          <w:right w:w="0" w:type="dxa"/>
        </w:tblCellMar>
      </w:tblPr>
      <w:tblGrid>
        <w:gridCol w:w="60"/>
        <w:gridCol w:w="151"/>
        <w:gridCol w:w="9994"/>
      </w:tblGrid>
      <w:tr>
        <w:tc>
          <w:tcPr>
            <w:tcW w:w="60" w:type="dxa"/>
            <w:tcBorders/>
            <w:vAlign w:val="center"/>
          </w:tcPr>
          <w:p>
            <w:pPr>
              <w:pStyle w:val="TableContents"/>
              <w:bidi w:val="0"/>
              <w:spacing w:before="0" w:after="283"/>
              <w:jc w:val="left"/>
            </w:pPr>
            <w:r>
              <w:t> </w:t>
            </w:r>
          </w:p>
        </w:tc>
        <w:tc>
          <w:tcPr>
            <w:tcW w:w="151" w:type="dxa"/>
            <w:tcBorders/>
            <w:vAlign w:val="center"/>
          </w:tcPr>
          <w:p>
            <w:pPr>
              <w:pStyle w:val="TableContents"/>
              <w:bidi w:val="0"/>
              <w:spacing w:before="0" w:after="0"/>
              <w:ind w:left="0" w:right="0" w:hanging="0"/>
              <w:jc w:val="left"/>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94" w:type="dxa"/>
            <w:tcBorders/>
            <w:vAlign w:val="center"/>
          </w:tcPr>
          <w:p>
            <w:pPr>
              <w:pStyle w:val="TableContents"/>
              <w:bidi w:val="0"/>
              <w:spacing w:before="0" w:after="0"/>
              <w:ind w:left="0" w:right="0" w:hanging="0"/>
              <w:jc w:val="both"/>
            </w:pPr>
            <w:r>
              <w:rPr>
                <w:rFonts w:ascii="Times New Roman" w:hAnsi="Times New Roman"/>
                <w:caps w:val="false"/>
                <w:smallCaps w:val="false"/>
                <w:sz w:val="20"/>
              </w:rPr>
              <w:t xml:space="preserve">Recurring revenue is comprised of revenue that either recurs on a regular schedule (e.g., SaaS and other services and time-based licenses) or is a type of revenue that generally has often re-occurred in the past (e.g., Cimetrix runtime licenses, secureWISE data, and Gainshare), and that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Upfront revenue. Though these types of revenue have re-occurred in the past, past events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future results,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can be provided that they will occur in the future.</w:t>
            </w:r>
          </w:p>
        </w:tc>
      </w:tr>
    </w:tbl>
    <w:p>
      <w:pPr>
        <w:pStyle w:val="TextBody"/>
        <w:bidi w:val="0"/>
        <w:spacing w:before="0" w:after="0"/>
        <w:ind w:left="0" w:right="0" w:hanging="0"/>
        <w:jc w:val="left"/>
      </w:pPr>
      <w: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c>
          <w:tcPr>
            <w:tcW w:w="60" w:type="dxa"/>
            <w:tcBorders/>
            <w:vAlign w:val="center"/>
          </w:tcPr>
          <w:p>
            <w:pPr>
              <w:pStyle w:val="TableContents"/>
              <w:bidi w:val="0"/>
              <w:spacing w:before="0" w:after="283"/>
              <w:jc w:val="left"/>
            </w:pPr>
            <w:r>
              <w:t> </w:t>
            </w:r>
          </w:p>
        </w:tc>
        <w:tc>
          <w:tcPr>
            <w:tcW w:w="204" w:type="dxa"/>
            <w:tcBorders/>
            <w:vAlign w:val="center"/>
          </w:tcPr>
          <w:p>
            <w:pPr>
              <w:pStyle w:val="TableContents"/>
              <w:bidi w:val="0"/>
              <w:spacing w:before="0" w:after="0"/>
              <w:ind w:left="0" w:right="0" w:hanging="0"/>
              <w:jc w:val="left"/>
            </w:pP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w:t>
            </w:r>
          </w:p>
        </w:tc>
        <w:tc>
          <w:tcPr>
            <w:tcW w:w="9941" w:type="dxa"/>
            <w:tcBorders/>
            <w:vAlign w:val="center"/>
          </w:tcPr>
          <w:p>
            <w:pPr>
              <w:pStyle w:val="TableContents"/>
              <w:bidi w:val="0"/>
              <w:spacing w:before="0" w:after="283"/>
              <w:jc w:val="both"/>
            </w:pPr>
            <w:r>
              <w:t>Upfront revenue is comprised of revenue from Exensio perpetual licenses, certain CV test chip designs, and hardware-related sales-type leases or sales.</w:t>
            </w:r>
          </w:p>
        </w:tc>
      </w:tr>
    </w:tbl>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shows revenues from contracts with customers from geographical regions, based on billing address of the customer (amounts in thousands):</w:t>
      </w:r>
    </w:p>
    <w:p>
      <w:pPr>
        <w:pStyle w:val="TextBody"/>
        <w:bidi w:val="0"/>
        <w:spacing w:before="0" w:after="0"/>
        <w:ind w:left="0" w:right="0" w:firstLine="360"/>
        <w:jc w:val="both"/>
        <w:rPr>
          <w:caps w:val="false"/>
          <w:smallCaps w:val="false"/>
        </w:rPr>
      </w:pPr>
      <w:r>
        <w:rPr>
          <w:caps w:val="false"/>
          <w:smallCaps w:val="false"/>
        </w:rPr>
        <w:t> </w:t>
      </w:r>
    </w:p>
    <w:tbl>
      <w:tblPr>
        <w:tblW w:w="10179" w:type="dxa"/>
        <w:jc w:val="left"/>
        <w:tblInd w:w="0" w:type="dxa"/>
        <w:tblLayout w:type="fixed"/>
        <w:tblCellMar>
          <w:top w:w="0" w:type="dxa"/>
          <w:left w:w="0" w:type="dxa"/>
          <w:bottom w:w="0" w:type="dxa"/>
          <w:right w:w="0" w:type="dxa"/>
        </w:tblCellMar>
      </w:tblPr>
      <w:tblGrid>
        <w:gridCol w:w="1400"/>
        <w:gridCol w:w="60"/>
        <w:gridCol w:w="139"/>
        <w:gridCol w:w="661"/>
        <w:gridCol w:w="65"/>
        <w:gridCol w:w="65"/>
        <w:gridCol w:w="153"/>
        <w:gridCol w:w="856"/>
        <w:gridCol w:w="203"/>
        <w:gridCol w:w="65"/>
        <w:gridCol w:w="139"/>
        <w:gridCol w:w="661"/>
        <w:gridCol w:w="65"/>
        <w:gridCol w:w="65"/>
        <w:gridCol w:w="153"/>
        <w:gridCol w:w="856"/>
        <w:gridCol w:w="185"/>
        <w:gridCol w:w="60"/>
        <w:gridCol w:w="125"/>
        <w:gridCol w:w="695"/>
        <w:gridCol w:w="60"/>
        <w:gridCol w:w="60"/>
        <w:gridCol w:w="153"/>
        <w:gridCol w:w="856"/>
        <w:gridCol w:w="185"/>
        <w:gridCol w:w="60"/>
        <w:gridCol w:w="125"/>
        <w:gridCol w:w="695"/>
        <w:gridCol w:w="60"/>
        <w:gridCol w:w="60"/>
        <w:gridCol w:w="153"/>
        <w:gridCol w:w="856"/>
        <w:gridCol w:w="185"/>
      </w:tblGrid>
      <w:tr>
        <w:tc>
          <w:tcPr>
            <w:tcW w:w="14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14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14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4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3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203"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193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4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4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4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9" w:type="dxa"/>
            <w:tcBorders/>
            <w:shd w:fill="FFFFFF" w:val="clear"/>
            <w:vAlign w:val="center"/>
          </w:tcPr>
          <w:p>
            <w:pPr>
              <w:pStyle w:val="TableContents"/>
              <w:bidi w:val="0"/>
              <w:spacing w:before="0" w:after="283"/>
              <w:jc w:val="left"/>
            </w:pPr>
            <w:r>
              <w:t> </w:t>
            </w:r>
          </w:p>
        </w:tc>
        <w:tc>
          <w:tcPr>
            <w:tcW w:w="661" w:type="dxa"/>
            <w:tcBorders/>
            <w:shd w:fill="FFFFFF" w:val="clear"/>
            <w:vAlign w:val="center"/>
          </w:tcPr>
          <w:p>
            <w:pPr>
              <w:pStyle w:val="TableContents"/>
              <w:bidi w:val="0"/>
              <w:spacing w:before="0" w:after="283"/>
              <w:jc w:val="center"/>
            </w:pPr>
            <w:r>
              <w:rPr>
                <w:rStyle w:val="Emphasis"/>
              </w:rP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100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Percentage</w:t>
            </w:r>
          </w:p>
        </w:tc>
        <w:tc>
          <w:tcPr>
            <w:tcW w:w="203"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39" w:type="dxa"/>
            <w:tcBorders/>
            <w:shd w:fill="FFFFFF" w:val="clear"/>
            <w:vAlign w:val="center"/>
          </w:tcPr>
          <w:p>
            <w:pPr>
              <w:pStyle w:val="TableContents"/>
              <w:bidi w:val="0"/>
              <w:spacing w:before="0" w:after="283"/>
              <w:jc w:val="left"/>
            </w:pPr>
            <w:r>
              <w:t> </w:t>
            </w:r>
          </w:p>
        </w:tc>
        <w:tc>
          <w:tcPr>
            <w:tcW w:w="661" w:type="dxa"/>
            <w:tcBorders/>
            <w:shd w:fill="FFFFFF" w:val="clear"/>
            <w:vAlign w:val="center"/>
          </w:tcPr>
          <w:p>
            <w:pPr>
              <w:pStyle w:val="TableContents"/>
              <w:bidi w:val="0"/>
              <w:spacing w:before="0" w:after="283"/>
              <w:jc w:val="center"/>
            </w:pPr>
            <w:r>
              <w:rPr>
                <w:rStyle w:val="Emphasis"/>
              </w:rPr>
              <w:t> </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100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Percentage</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0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Percentage</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0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Percentage</w:t>
            </w:r>
          </w:p>
        </w:tc>
        <w:tc>
          <w:tcPr>
            <w:tcW w:w="185" w:type="dxa"/>
            <w:tcBorders/>
            <w:shd w:fill="FFFFFF" w:val="clear"/>
            <w:vAlign w:val="center"/>
          </w:tcPr>
          <w:p>
            <w:pPr>
              <w:pStyle w:val="TableContents"/>
              <w:bidi w:val="0"/>
              <w:spacing w:before="0" w:after="283"/>
              <w:jc w:val="left"/>
            </w:pPr>
            <w:r>
              <w:t> </w:t>
            </w:r>
          </w:p>
        </w:tc>
      </w:tr>
      <w:tr>
        <w:tc>
          <w:tcPr>
            <w:tcW w:w="140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Revenues</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of Revenues</w:t>
            </w:r>
          </w:p>
        </w:tc>
        <w:tc>
          <w:tcPr>
            <w:tcW w:w="203"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Revenues</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ind w:left="0" w:right="0" w:hanging="0"/>
              <w:jc w:val="left"/>
            </w:pPr>
            <w: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of Revenues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Revenues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of Revenues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Revenues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of Revenues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pPr>
            <w: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22,702</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53" w:type="dxa"/>
            <w:tcBorders/>
            <w:shd w:fill="CCEEFF" w:val="clear"/>
            <w:vAlign w:val="center"/>
          </w:tcPr>
          <w:p>
            <w:pPr>
              <w:pStyle w:val="TableContents"/>
              <w:bidi w:val="0"/>
              <w:spacing w:before="0" w:after="283"/>
              <w:ind w:left="0" w:right="0" w:hanging="0"/>
              <w:jc w:val="left"/>
            </w:pPr>
            <w: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pPr>
            <w: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30,143</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53" w:type="dxa"/>
            <w:tcBorders/>
            <w:shd w:fill="CCEEFF" w:val="clear"/>
            <w:vAlign w:val="center"/>
          </w:tcPr>
          <w:p>
            <w:pPr>
              <w:pStyle w:val="TableContents"/>
              <w:bidi w:val="0"/>
              <w:spacing w:before="0" w:after="283"/>
              <w:ind w:left="0" w:right="0" w:hanging="0"/>
              <w:jc w:val="left"/>
            </w:pPr>
            <w: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81,245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3" w:type="dxa"/>
            <w:tcBorders/>
            <w:shd w:fill="CCEEFF" w:val="clear"/>
            <w:vAlign w:val="center"/>
          </w:tcPr>
          <w:p>
            <w:pPr>
              <w:pStyle w:val="TableContents"/>
              <w:bidi w:val="0"/>
              <w:spacing w:before="0" w:after="283"/>
              <w:ind w:left="0" w:right="0" w:hanging="0"/>
              <w:jc w:val="left"/>
            </w:pPr>
            <w: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3" w:type="dxa"/>
            <w:tcBorders/>
            <w:shd w:fill="CCEEFF" w:val="clear"/>
            <w:vAlign w:val="center"/>
          </w:tcPr>
          <w:p>
            <w:pPr>
              <w:pStyle w:val="TableContents"/>
              <w:bidi w:val="0"/>
              <w:spacing w:before="0" w:after="283"/>
              <w:ind w:left="0" w:right="0" w:hanging="0"/>
              <w:jc w:val="left"/>
            </w:pPr>
            <w: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1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w:t>
            </w:r>
          </w:p>
        </w:tc>
        <w:tc>
          <w:tcPr>
            <w:tcW w:w="60" w:type="dxa"/>
            <w:tcBorders/>
            <w:shd w:fill="FFFFFF" w:val="clear"/>
            <w:vAlign w:val="center"/>
          </w:tcPr>
          <w:p>
            <w:pPr>
              <w:pStyle w:val="TableContents"/>
              <w:bidi w:val="0"/>
              <w:spacing w:before="0" w:after="283"/>
              <w:jc w:val="left"/>
            </w:pPr>
            <w:r>
              <w:t> </w:t>
            </w:r>
          </w:p>
        </w:tc>
        <w:tc>
          <w:tcPr>
            <w:tcW w:w="139" w:type="dxa"/>
            <w:tcBorders/>
            <w:shd w:fill="FFFFFF" w:val="clear"/>
            <w:vAlign w:val="center"/>
          </w:tcPr>
          <w:p>
            <w:pPr>
              <w:pStyle w:val="TableContents"/>
              <w:bidi w:val="0"/>
              <w:spacing w:before="0" w:after="283"/>
              <w:ind w:left="0" w:right="0" w:hanging="0"/>
              <w:jc w:val="left"/>
            </w:pPr>
            <w: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21,655</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53" w:type="dxa"/>
            <w:tcBorders/>
            <w:shd w:fill="FFFFFF" w:val="clear"/>
            <w:vAlign w:val="center"/>
          </w:tcPr>
          <w:p>
            <w:pPr>
              <w:pStyle w:val="TableContents"/>
              <w:bidi w:val="0"/>
              <w:spacing w:before="0" w:after="283"/>
              <w:ind w:left="0" w:right="0" w:hanging="0"/>
              <w:jc w:val="left"/>
            </w:pPr>
            <w: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203"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39" w:type="dxa"/>
            <w:tcBorders/>
            <w:shd w:fill="FFFFFF" w:val="clear"/>
            <w:vAlign w:val="center"/>
          </w:tcPr>
          <w:p>
            <w:pPr>
              <w:pStyle w:val="TableContents"/>
              <w:bidi w:val="0"/>
              <w:spacing w:before="0" w:after="283"/>
              <w:ind w:left="0" w:right="0" w:hanging="0"/>
              <w:jc w:val="left"/>
            </w:pPr>
            <w: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10,091</w:t>
            </w:r>
          </w:p>
        </w:tc>
        <w:tc>
          <w:tcPr>
            <w:tcW w:w="65" w:type="dxa"/>
            <w:tcBorders/>
            <w:shd w:fill="FFFFFF" w:val="cle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53" w:type="dxa"/>
            <w:tcBorders/>
            <w:shd w:fill="FFFFFF" w:val="clear"/>
            <w:vAlign w:val="center"/>
          </w:tcPr>
          <w:p>
            <w:pPr>
              <w:pStyle w:val="TableContents"/>
              <w:bidi w:val="0"/>
              <w:spacing w:before="0" w:after="283"/>
              <w:ind w:left="0" w:right="0" w:hanging="0"/>
              <w:jc w:val="left"/>
            </w:pPr>
            <w: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36,897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3" w:type="dxa"/>
            <w:tcBorders/>
            <w:shd w:fill="FFFFFF" w:val="clear"/>
            <w:vAlign w:val="center"/>
          </w:tcPr>
          <w:p>
            <w:pPr>
              <w:pStyle w:val="TableContents"/>
              <w:bidi w:val="0"/>
              <w:spacing w:before="0" w:after="283"/>
              <w:ind w:left="0" w:right="0" w:hanging="0"/>
              <w:jc w:val="left"/>
            </w:pPr>
            <w: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31,131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3" w:type="dxa"/>
            <w:tcBorders/>
            <w:shd w:fill="FFFFFF" w:val="clear"/>
            <w:vAlign w:val="center"/>
          </w:tcPr>
          <w:p>
            <w:pPr>
              <w:pStyle w:val="TableContents"/>
              <w:bidi w:val="0"/>
              <w:spacing w:before="0" w:after="283"/>
              <w:ind w:left="0" w:right="0" w:hanging="0"/>
              <w:jc w:val="left"/>
            </w:pPr>
            <w: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FFFFFF" w:val="clear"/>
            <w:vAlign w:val="center"/>
          </w:tcPr>
          <w:p>
            <w:pPr>
              <w:pStyle w:val="TableContents"/>
              <w:bidi w:val="0"/>
              <w:spacing w:before="0" w:after="283"/>
              <w:jc w:val="left"/>
            </w:pPr>
            <w:r>
              <w:t> </w:t>
            </w:r>
          </w:p>
        </w:tc>
      </w:tr>
      <w:t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CCEEFF" w:val="clear"/>
            <w:vAlign w:val="center"/>
          </w:tcPr>
          <w:p>
            <w:pPr>
              <w:pStyle w:val="TableContents"/>
              <w:bidi w:val="0"/>
              <w:spacing w:before="0" w:after="283"/>
              <w:jc w:val="left"/>
            </w:pPr>
            <w:r>
              <w:t> </w:t>
            </w:r>
          </w:p>
        </w:tc>
        <w:tc>
          <w:tcPr>
            <w:tcW w:w="139" w:type="dxa"/>
            <w:tcBorders/>
            <w:shd w:fill="CCEEFF" w:val="clear"/>
            <w:vAlign w:val="center"/>
          </w:tcPr>
          <w:p>
            <w:pPr>
              <w:pStyle w:val="TableContents"/>
              <w:bidi w:val="0"/>
              <w:spacing w:before="0" w:after="283"/>
              <w:ind w:left="0" w:right="0" w:hanging="0"/>
              <w:jc w:val="left"/>
            </w:pPr>
            <w: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11,068</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53" w:type="dxa"/>
            <w:tcBorders/>
            <w:shd w:fill="CCEEFF" w:val="clear"/>
            <w:vAlign w:val="center"/>
          </w:tcPr>
          <w:p>
            <w:pPr>
              <w:pStyle w:val="TableContents"/>
              <w:bidi w:val="0"/>
              <w:spacing w:before="0" w:after="283"/>
              <w:ind w:left="0" w:right="0" w:hanging="0"/>
              <w:jc w:val="left"/>
            </w:pPr>
            <w: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03"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39" w:type="dxa"/>
            <w:tcBorders/>
            <w:shd w:fill="CCEEFF" w:val="clear"/>
            <w:vAlign w:val="center"/>
          </w:tcPr>
          <w:p>
            <w:pPr>
              <w:pStyle w:val="TableContents"/>
              <w:bidi w:val="0"/>
              <w:spacing w:before="0" w:after="283"/>
              <w:ind w:left="0" w:right="0" w:hanging="0"/>
              <w:jc w:val="left"/>
            </w:pPr>
            <w: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5,842</w:t>
            </w:r>
          </w:p>
        </w:tc>
        <w:tc>
          <w:tcPr>
            <w:tcW w:w="65" w:type="dxa"/>
            <w:tcBorders/>
            <w:shd w:fill="CCEEFF" w:val="cle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53" w:type="dxa"/>
            <w:tcBorders/>
            <w:shd w:fill="CCEEFF" w:val="clear"/>
            <w:vAlign w:val="center"/>
          </w:tcPr>
          <w:p>
            <w:pPr>
              <w:pStyle w:val="TableContents"/>
              <w:bidi w:val="0"/>
              <w:spacing w:before="0" w:after="283"/>
              <w:ind w:left="0" w:right="0" w:hanging="0"/>
              <w:jc w:val="left"/>
            </w:pPr>
            <w: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28,305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3" w:type="dxa"/>
            <w:tcBorders/>
            <w:shd w:fill="CCEEFF" w:val="clear"/>
            <w:vAlign w:val="center"/>
          </w:tcPr>
          <w:p>
            <w:pPr>
              <w:pStyle w:val="TableContents"/>
              <w:bidi w:val="0"/>
              <w:spacing w:before="0" w:after="283"/>
              <w:ind w:left="0" w:right="0" w:hanging="0"/>
              <w:jc w:val="left"/>
            </w:pPr>
            <w: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26,075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3" w:type="dxa"/>
            <w:tcBorders/>
            <w:shd w:fill="CCEEFF" w:val="clear"/>
            <w:vAlign w:val="center"/>
          </w:tcPr>
          <w:p>
            <w:pPr>
              <w:pStyle w:val="TableContents"/>
              <w:bidi w:val="0"/>
              <w:spacing w:before="0" w:after="283"/>
              <w:ind w:left="0" w:right="0" w:hanging="0"/>
              <w:jc w:val="left"/>
            </w:pPr>
            <w: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pPr>
            <w:r>
              <w:t> </w:t>
            </w:r>
          </w:p>
        </w:tc>
      </w:tr>
      <w:tr>
        <w:tc>
          <w:tcPr>
            <w:tcW w:w="1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the world</w:t>
            </w:r>
          </w:p>
        </w:tc>
        <w:tc>
          <w:tcPr>
            <w:tcW w:w="60" w:type="dxa"/>
            <w:tcBorders/>
            <w:shd w:fill="FFFFFF" w:val="clear"/>
            <w:vAlign w:val="center"/>
          </w:tcPr>
          <w:p>
            <w:pPr>
              <w:pStyle w:val="TableContents"/>
              <w:bidi w:val="0"/>
              <w:spacing w:before="0" w:after="283"/>
              <w:jc w:val="left"/>
            </w:pPr>
            <w: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12,909</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03"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11,039</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5" w:type="dxa"/>
            <w:tcBorders/>
            <w:shd w:fill="FFFFFF" w:val="clear"/>
            <w:vAlign w:val="center"/>
          </w:tcPr>
          <w:p>
            <w:pPr>
              <w:pStyle w:val="TableContents"/>
              <w:bidi w:val="0"/>
              <w:spacing w:before="0" w:after="283"/>
              <w:jc w:val="left"/>
            </w:pPr>
            <w: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43,546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31,090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pPr>
            <w: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68,334</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pPr>
            <w: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57,115</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5" w:type="dxa"/>
            <w:tcBorders/>
            <w:shd w:fill="CCEEFF" w:val="clear"/>
            <w:vAlign w:val="center"/>
          </w:tcPr>
          <w:p>
            <w:pPr>
              <w:pStyle w:val="TableContents"/>
              <w:bidi w:val="0"/>
              <w:spacing w:before="0" w:after="283"/>
              <w:jc w:val="left"/>
            </w:pPr>
            <w: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189,993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156,621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International revenues accounted for approximately 67% and 47% of the Company’s total revenues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and approximately 57% of the Company’s total revenues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Significant Judgments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Judgments and estimates are required under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Due to the complexity of certain contracts, the actual revenue recognition treatment required under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for the Company’s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dependent on contract-specific terms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vary in some instances.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For revenue under project-based contracts for fixed-price services, revenue is recognized as services are performed using a percentage-of-completion method based on costs or labor-hours input method, whichever is the most appropriate measure of the progress towards completion of the contract. Due to the nature of the work performed in these arrangements, the estimation of percentage of completion method is complex, subject to many variables and requires significant judgment. Key factors reviewed by the Company to estimate costs to complete each contract are future labor and product costs and expected productivity efficiencies. If circumstances arise that change the original estimates of revenues, costs, or extent of progress toward completion, revisions to the estimates are made. These revisions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increases or decreases in estimated revenues or costs, and such revisions are reflected in revenue on a cumulative catch-up basis in the period in which the circumstances that gave rise to the revision become known.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Company’s contracts with customers often include promises to transfer products, software licenses and provide services, including professional services, technical support services, and rights to unspecified updates to a customer. Determining whether licenses and services are distinct performance obligations that should be accounted for separately,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distinct and thus accounted for together, requires significant judgment. The Company rarely licenses software on a standalone basis, so the Company is required to estimate the range of SSPs for each performance obligation. In instances where the SSP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directly observable because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license the software or sell the service separately, the Company determines the SSP using information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market conditions and other observable inputs.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typically recognizes Gainshare revenue in the same period in which the usage occurs. Because the Company generally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receive the acknowledgment reports from its customers during a given quarter within the time frame necessary to adequately review the reports and include the actual amounts in quarterly results for such quarter, the Company accrues the related revenue based on estimates of customers’ underlying sales achievement. The Company’s estimation process can be based on historical data, trends, seasonality, changes in the contract rate, knowledge of the changes in the industry and changes in the customer’s manufacturing environment learned through discussions with customers and sales personnel. As a result of accruing revenue for the quarter based on such estimates, adjustments will be required in the following quarter to true-up revenue to the actual amounts reported.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performs its obligations under a contract with a customer by licensing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classifies the right to consideration in exchange for software or services transferred to a customer as either a receivable or a contract asset. A receivable is a right to consideration that is unconditional, as compared to a contract asset, which is a right to consideration that is conditional upon factors other than the passage of time. The majority of the Company’s contract assets represent unbilled amounts related to fixed-price service contracts when the revenue recognized exceeds the amount billed to the customer. The contract assets are generally classified as current and are recorded on a net basis with deferred revenues (i.e. contract liabilities) at the contract level. The total current contract assets included in prepaid expenses and other current assets in the condensed consolidated balance sheets were $27.7 million and $11.3 million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respectively. The $16.4 million increase in contract assets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was primarily due to revenue recognized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for which the payment is subject to conditions other than the passage of time. The Company did not record any asset impairment charges related to contract assets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Deferred revenues and billings in excess of recognized revenues consist substantially of amounts invoiced in advance of revenue recognition and are recognized as the revenue recognition criteria are met. Deferred revenues that will be recognized during the succeeding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-month period are recorded as current deferred revenues and the remaining portion is recorded in other non-current liabilities in the condensed consolidated balance sheets. The $16.4 million increase in contract liabilities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reflected the timing of revenue recognition relative to billings for products and services from which there are unsatisfied performance obligations to customers such that revenue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recognized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Deferred revenues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7003" w:type="dxa"/>
        <w:jc w:val="left"/>
        <w:tblInd w:w="0" w:type="dxa"/>
        <w:tblLayout w:type="fixed"/>
        <w:tblCellMar>
          <w:top w:w="0" w:type="dxa"/>
          <w:left w:w="0" w:type="dxa"/>
          <w:bottom w:w="0" w:type="dxa"/>
          <w:right w:w="0" w:type="dxa"/>
        </w:tblCellMar>
      </w:tblPr>
      <w:tblGrid>
        <w:gridCol w:w="4415"/>
        <w:gridCol w:w="60"/>
        <w:gridCol w:w="207"/>
        <w:gridCol w:w="982"/>
        <w:gridCol w:w="60"/>
        <w:gridCol w:w="60"/>
        <w:gridCol w:w="199"/>
        <w:gridCol w:w="945"/>
        <w:gridCol w:w="75"/>
      </w:tblGrid>
      <w:tr>
        <w:tc>
          <w:tcPr>
            <w:tcW w:w="44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w:t>
            </w:r>
          </w:p>
        </w:tc>
        <w:tc>
          <w:tcPr>
            <w:tcW w:w="75" w:type="dxa"/>
            <w:tcBorders/>
            <w:shd w:fill="FFFFFF" w:val="clear"/>
            <w:vAlign w:val="center"/>
          </w:tcPr>
          <w:p>
            <w:pPr>
              <w:pStyle w:val="TableContents"/>
              <w:bidi w:val="0"/>
              <w:spacing w:before="0" w:after="283"/>
              <w:jc w:val="left"/>
            </w:pPr>
            <w:r>
              <w:t> </w:t>
            </w:r>
          </w:p>
        </w:tc>
      </w:tr>
      <w:tr>
        <w:tc>
          <w:tcPr>
            <w:tcW w:w="44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ind w:left="0" w:right="0" w:hanging="0"/>
              <w:jc w:val="left"/>
            </w:pPr>
            <w: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32,776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19,441</w:t>
            </w:r>
          </w:p>
        </w:tc>
        <w:tc>
          <w:tcPr>
            <w:tcW w:w="75" w:type="dxa"/>
            <w:tcBorders/>
            <w:shd w:fill="CCEEFF" w:val="clear"/>
            <w:vAlign w:val="center"/>
          </w:tcPr>
          <w:p>
            <w:pPr>
              <w:pStyle w:val="TableContents"/>
              <w:bidi w:val="0"/>
              <w:spacing w:before="0" w:after="283"/>
              <w:jc w:val="left"/>
            </w:pPr>
            <w:r>
              <w:t> </w:t>
            </w:r>
          </w:p>
        </w:tc>
      </w:tr>
      <w:t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(included in Other non-current liabilities)</w:t>
            </w:r>
          </w:p>
        </w:tc>
        <w:tc>
          <w:tcPr>
            <w:tcW w:w="60" w:type="dxa"/>
            <w:tcBorders/>
            <w:shd w:fill="FFFFFF" w:val="clear"/>
            <w:vAlign w:val="center"/>
          </w:tcPr>
          <w:p>
            <w:pPr>
              <w:pStyle w:val="TableContents"/>
              <w:bidi w:val="0"/>
              <w:spacing w:before="0" w:after="283"/>
              <w:jc w:val="left"/>
            </w:pPr>
            <w: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revenues</w:t>
            </w:r>
          </w:p>
        </w:tc>
        <w:tc>
          <w:tcPr>
            <w:tcW w:w="60" w:type="dxa"/>
            <w:tcBorders/>
            <w:shd w:fill="CCEEFF" w:val="clear"/>
            <w:vAlign w:val="center"/>
          </w:tcPr>
          <w:p>
            <w:pPr>
              <w:pStyle w:val="TableContents"/>
              <w:bidi w:val="0"/>
              <w:spacing w:before="0" w:after="283"/>
              <w:ind w:left="0" w:right="0" w:hanging="0"/>
              <w:jc w:val="left"/>
            </w:pPr>
            <w: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36,727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20,306</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Additional information related to deferred revenue was as follows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45"/>
        <w:gridCol w:w="60"/>
        <w:gridCol w:w="181"/>
        <w:gridCol w:w="704"/>
        <w:gridCol w:w="86"/>
        <w:gridCol w:w="86"/>
        <w:gridCol w:w="181"/>
        <w:gridCol w:w="857"/>
        <w:gridCol w:w="60"/>
        <w:gridCol w:w="60"/>
        <w:gridCol w:w="170"/>
        <w:gridCol w:w="807"/>
        <w:gridCol w:w="81"/>
        <w:gridCol w:w="81"/>
        <w:gridCol w:w="170"/>
        <w:gridCol w:w="807"/>
        <w:gridCol w:w="69"/>
      </w:tblGrid>
      <w:tr>
        <w:tc>
          <w:tcPr>
            <w:tcW w:w="57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0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11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7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ind w:left="0" w:right="0" w:hanging="0"/>
              <w:jc w:val="left"/>
            </w:pPr>
            <w:r>
              <w:t> </w:t>
            </w:r>
          </w:p>
        </w:tc>
        <w:tc>
          <w:tcPr>
            <w:tcW w:w="10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9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9"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 that was included in the deferred revenues and billings in excess of recognized revenues balances at the beginning of each period</w:t>
            </w:r>
          </w:p>
        </w:tc>
        <w:tc>
          <w:tcPr>
            <w:tcW w:w="60" w:type="dxa"/>
            <w:tcBorders/>
            <w:shd w:fill="CCEEFF" w:val="clear"/>
            <w:vAlign w:val="center"/>
          </w:tcPr>
          <w:p>
            <w:pPr>
              <w:pStyle w:val="TableContents"/>
              <w:bidi w:val="0"/>
              <w:spacing w:before="0" w:after="283"/>
              <w:ind w:left="0" w:right="0" w:hanging="0"/>
              <w:jc w:val="left"/>
            </w:pPr>
            <w: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9,999</w:t>
            </w:r>
          </w:p>
        </w:tc>
        <w:tc>
          <w:tcPr>
            <w:tcW w:w="86" w:type="dxa"/>
            <w:tcBorders/>
            <w:shd w:fill="CCEEFF" w:val="cle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ind w:left="0" w:right="0" w:hanging="0"/>
              <w:jc w:val="left"/>
            </w:pPr>
            <w: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18,466</w:t>
            </w:r>
          </w:p>
        </w:tc>
        <w:tc>
          <w:tcPr>
            <w:tcW w:w="81"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23,516</w:t>
            </w:r>
          </w:p>
        </w:tc>
        <w:tc>
          <w:tcPr>
            <w:tcW w:w="69"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jc w:val="cente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firstLine="360"/>
        <w:jc w:val="both"/>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 aggregate amount of the transaction price allocated to the remaining performance obligations related to customer contracts that were unsatisfied or partially unsatisfied was approximately $247.2 million. Given the applicable contract terms with customers, the majority of this amount is expected to be recognized as revenue over the next two years, with the remainder recognized thereafter. This amount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significant contracts to which the customer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committed, future sales-based or usage-based royalty payments in exchange for a license of IP, and future payments for performance obligations from on-demand arrangements.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the scope, change in timing of delivery of products and services, or contract modifications.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adjustment to revenue recognized from performance obligations satisfied (or partially satisfied) in previous periods were decreases of $0.6 million and $1.0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and  increases of $6.9 million and $0.2 million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These amounts primarily represent changes in estimated percentage-of-completion based contracts and changes in actual versus estimated Gainshare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Costs to Obtain or Fulfill a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capitalizes the incremental costs to obtain or fulfill a contract with a customer, including direct sales commissions and related fees, when it expects to recover those costs. The Company determined the period of benefit by taking into consideration the terms of its customer contracts, generally, from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Amortization expense related to these capitalized costs is recognized over the period associated with the revenue from which the cost was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Total capitalized direct sales commission costs and related fees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7708" w:type="dxa"/>
        <w:jc w:val="left"/>
        <w:tblInd w:w="0" w:type="dxa"/>
        <w:tblLayout w:type="fixed"/>
        <w:tblCellMar>
          <w:top w:w="0" w:type="dxa"/>
          <w:left w:w="0" w:type="dxa"/>
          <w:bottom w:w="0" w:type="dxa"/>
          <w:right w:w="0" w:type="dxa"/>
        </w:tblCellMar>
      </w:tblPr>
      <w:tblGrid>
        <w:gridCol w:w="5120"/>
        <w:gridCol w:w="60"/>
        <w:gridCol w:w="243"/>
        <w:gridCol w:w="946"/>
        <w:gridCol w:w="60"/>
        <w:gridCol w:w="60"/>
        <w:gridCol w:w="234"/>
        <w:gridCol w:w="910"/>
        <w:gridCol w:w="75"/>
      </w:tblGrid>
      <w:tr>
        <w:tc>
          <w:tcPr>
            <w:tcW w:w="51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w:t>
            </w:r>
          </w:p>
        </w:tc>
        <w:tc>
          <w:tcPr>
            <w:tcW w:w="75" w:type="dxa"/>
            <w:tcBorders/>
            <w:shd w:fill="FFFFFF" w:val="clear"/>
            <w:vAlign w:val="center"/>
          </w:tcPr>
          <w:p>
            <w:pPr>
              <w:pStyle w:val="TableContents"/>
              <w:bidi w:val="0"/>
              <w:spacing w:before="0" w:after="283"/>
              <w:jc w:val="left"/>
            </w:pPr>
            <w:r>
              <w:t> </w:t>
            </w:r>
          </w:p>
        </w:tc>
      </w:tr>
      <w:tr>
        <w:tc>
          <w:tcPr>
            <w:tcW w:w="51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(included in Prepaid expenses and other current assets)</w:t>
            </w:r>
          </w:p>
        </w:tc>
        <w:tc>
          <w:tcPr>
            <w:tcW w:w="60" w:type="dxa"/>
            <w:tcBorders/>
            <w:shd w:fill="CCEEFF" w:val="clear"/>
            <w:vAlign w:val="center"/>
          </w:tcPr>
          <w:p>
            <w:pPr>
              <w:pStyle w:val="TableContents"/>
              <w:bidi w:val="0"/>
              <w:spacing w:before="0" w:after="283"/>
              <w:ind w:left="0" w:right="0" w:hanging="0"/>
              <w:jc w:val="left"/>
            </w:pPr>
            <w: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2,489</w:t>
            </w:r>
          </w:p>
        </w:tc>
        <w:tc>
          <w:tcPr>
            <w:tcW w:w="75" w:type="dxa"/>
            <w:tcBorders/>
            <w:shd w:fill="CCEEFF" w:val="clear"/>
            <w:vAlign w:val="center"/>
          </w:tcPr>
          <w:p>
            <w:pPr>
              <w:pStyle w:val="TableContents"/>
              <w:bidi w:val="0"/>
              <w:spacing w:before="0" w:after="283"/>
              <w:jc w:val="left"/>
            </w:pPr>
            <w:r>
              <w:t> </w:t>
            </w:r>
          </w:p>
        </w:tc>
      </w:tr>
      <w:tr>
        <w:tc>
          <w:tcPr>
            <w:tcW w:w="5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(included in Other non-current assets)</w:t>
            </w:r>
          </w:p>
        </w:tc>
        <w:tc>
          <w:tcPr>
            <w:tcW w:w="60" w:type="dxa"/>
            <w:tcBorders/>
            <w:shd w:fill="FFFFFF" w:val="clear"/>
            <w:vAlign w:val="center"/>
          </w:tcPr>
          <w:p>
            <w:pPr>
              <w:pStyle w:val="TableContents"/>
              <w:bidi w:val="0"/>
              <w:spacing w:before="0" w:after="283"/>
              <w:jc w:val="left"/>
            </w:pPr>
            <w: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capitalized direct sales commission costs</w:t>
            </w:r>
          </w:p>
        </w:tc>
        <w:tc>
          <w:tcPr>
            <w:tcW w:w="60" w:type="dxa"/>
            <w:tcBorders/>
            <w:shd w:fill="CCEEFF" w:val="clear"/>
            <w:vAlign w:val="center"/>
          </w:tcPr>
          <w:p>
            <w:pPr>
              <w:pStyle w:val="TableContents"/>
              <w:bidi w:val="0"/>
              <w:spacing w:before="0" w:after="283"/>
              <w:ind w:left="0" w:right="0" w:hanging="0"/>
              <w:jc w:val="left"/>
            </w:pPr>
            <w: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5,884</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Amortization of capitalized direct sales commission costs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85"/>
        <w:gridCol w:w="60"/>
        <w:gridCol w:w="337"/>
        <w:gridCol w:w="905"/>
        <w:gridCol w:w="161"/>
        <w:gridCol w:w="161"/>
        <w:gridCol w:w="337"/>
        <w:gridCol w:w="905"/>
        <w:gridCol w:w="60"/>
        <w:gridCol w:w="60"/>
        <w:gridCol w:w="256"/>
        <w:gridCol w:w="997"/>
        <w:gridCol w:w="123"/>
        <w:gridCol w:w="123"/>
        <w:gridCol w:w="256"/>
        <w:gridCol w:w="997"/>
        <w:gridCol w:w="82"/>
      </w:tblGrid>
      <w:tr>
        <w:tc>
          <w:tcPr>
            <w:tcW w:w="43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5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3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61"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12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23"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ind w:left="0" w:right="0" w:hanging="0"/>
              <w:jc w:val="left"/>
            </w:pPr>
            <w:r>
              <w:t> </w:t>
            </w:r>
          </w:p>
        </w:tc>
        <w:tc>
          <w:tcPr>
            <w:tcW w:w="12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capitalized direct sales commission costs</w:t>
            </w:r>
          </w:p>
        </w:tc>
        <w:tc>
          <w:tcPr>
            <w:tcW w:w="60" w:type="dxa"/>
            <w:tcBorders/>
            <w:shd w:fill="CCEEFF" w:val="clear"/>
            <w:vAlign w:val="center"/>
          </w:tcPr>
          <w:p>
            <w:pPr>
              <w:pStyle w:val="TableContents"/>
              <w:bidi w:val="0"/>
              <w:spacing w:before="0" w:after="283"/>
              <w:ind w:left="0" w:right="0" w:hanging="0"/>
              <w:jc w:val="left"/>
            </w:pPr>
            <w:r>
              <w:t> </w:t>
            </w:r>
          </w:p>
        </w:tc>
        <w:tc>
          <w:tcPr>
            <w:tcW w:w="3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w:t>
            </w:r>
          </w:p>
        </w:tc>
        <w:tc>
          <w:tcPr>
            <w:tcW w:w="161"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3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w:t>
            </w:r>
          </w:p>
        </w:tc>
        <w:tc>
          <w:tcPr>
            <w:tcW w:w="123" w:type="dxa"/>
            <w:tcBorders/>
            <w:shd w:fill="CCEEFF" w:val="clear"/>
            <w:vAlign w:val="center"/>
          </w:tcPr>
          <w:p>
            <w:pPr>
              <w:pStyle w:val="TableContents"/>
              <w:bidi w:val="0"/>
              <w:spacing w:before="0" w:after="283"/>
              <w:jc w:val="left"/>
            </w:pPr>
            <w:r>
              <w:t> </w:t>
            </w:r>
          </w:p>
        </w:tc>
        <w:tc>
          <w:tcPr>
            <w:tcW w:w="123" w:type="dxa"/>
            <w:tcBorders/>
            <w:shd w:fill="CCEEFF" w:val="clear"/>
            <w:vAlign w:val="center"/>
          </w:tcPr>
          <w:p>
            <w:pPr>
              <w:pStyle w:val="TableContents"/>
              <w:bidi w:val="0"/>
              <w:spacing w:before="0" w:after="283"/>
              <w:ind w:left="0" w:right="0" w:hanging="0"/>
              <w:jc w:val="left"/>
            </w:pPr>
            <w: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2,217</w:t>
            </w:r>
          </w:p>
        </w:tc>
        <w:tc>
          <w:tcPr>
            <w:tcW w:w="82"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360"/>
        <w:jc w:val="both"/>
      </w:pPr>
      <w:r>
        <w:rPr>
          <w:rFonts w:ascii="Times New Roman" w:hAnsi="Times New Roman"/>
          <w:caps w:val="false"/>
          <w:smallCaps w:val="false"/>
          <w:sz w:val="20"/>
        </w:rPr>
        <w:t xml:space="preserve">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impairment loss in relation to the costs capitalized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Practical Expedient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adjust the transaction price for the effects of a significant financing component when the period between the transfers of the promised good or service to the customer and payment for that good or service by the customer is expected to be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The Company assessed each of its revenue generating arrangements in order to determine whether a significant financing component exists, and determined its contracts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 material significant financing component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BALANCE SHEET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Accounts receivable includes amounts that are unbilled at the end of the period that are expected to be billed and collected within a </w:t>
      </w:r>
      <w:r>
        <w:rPr>
          <w:rStyle w:val="Emphasis"/>
          <w:rFonts w:ascii="Times New Roman" w:hAnsi="Times New Roman"/>
          <w:caps w:val="false"/>
          <w:smallCaps w:val="false"/>
          <w:sz w:val="20"/>
        </w:rPr>
        <w:t>12</w:t>
        <w:noBreakHyphen/>
        <w:t>month</w:t>
      </w:r>
      <w:r>
        <w:rPr>
          <w:rFonts w:ascii="Times New Roman" w:hAnsi="Times New Roman"/>
          <w:caps w:val="false"/>
          <w:smallCaps w:val="false"/>
          <w:sz w:val="20"/>
        </w:rPr>
        <w:t xml:space="preserve"> period. Unbilled accounts receivable, included in accounts receivable, totaled $39.5 million and $44.8 million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respectively. Unbilled accounts receivable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be billed and collected during the succeeding </w:t>
      </w:r>
      <w:r>
        <w:rPr>
          <w:rStyle w:val="Emphasis"/>
          <w:rFonts w:ascii="Times New Roman" w:hAnsi="Times New Roman"/>
          <w:caps w:val="false"/>
          <w:smallCaps w:val="false"/>
          <w:sz w:val="20"/>
        </w:rPr>
        <w:t>12</w:t>
        <w:noBreakHyphen/>
        <w:t>month</w:t>
      </w:r>
      <w:r>
        <w:rPr>
          <w:rFonts w:ascii="Times New Roman" w:hAnsi="Times New Roman"/>
          <w:caps w:val="false"/>
          <w:smallCaps w:val="false"/>
          <w:sz w:val="20"/>
        </w:rPr>
        <w:t xml:space="preserve"> period are recorded in other non-current assets and totaled $7.6 million and $8.7 million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performs ongoing credit evaluations of its customers’ financial condition. An allowance for credit losses is maintained for probable credit losses based upon the Company’s assessment of the expected collectibility of the accounts receivable. The allowance for credit losses is reviewed on a quarterly basis to assess the adequacy of the allowance. The allowance for credit losses was $0.9 million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Prepaid expenses and other current assets consist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153" w:type="dxa"/>
        <w:jc w:val="left"/>
        <w:tblInd w:w="0" w:type="dxa"/>
        <w:tblLayout w:type="fixed"/>
        <w:tblCellMar>
          <w:top w:w="0" w:type="dxa"/>
          <w:left w:w="0" w:type="dxa"/>
          <w:bottom w:w="0" w:type="dxa"/>
          <w:right w:w="0" w:type="dxa"/>
        </w:tblCellMar>
      </w:tblPr>
      <w:tblGrid>
        <w:gridCol w:w="4565"/>
        <w:gridCol w:w="60"/>
        <w:gridCol w:w="207"/>
        <w:gridCol w:w="982"/>
        <w:gridCol w:w="60"/>
        <w:gridCol w:w="60"/>
        <w:gridCol w:w="199"/>
        <w:gridCol w:w="945"/>
        <w:gridCol w:w="75"/>
      </w:tblGrid>
      <w:tr>
        <w:tc>
          <w:tcPr>
            <w:tcW w:w="456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w:t>
            </w:r>
          </w:p>
        </w:tc>
        <w:tc>
          <w:tcPr>
            <w:tcW w:w="75" w:type="dxa"/>
            <w:tcBorders/>
            <w:shd w:fill="FFFFFF" w:val="clear"/>
            <w:vAlign w:val="center"/>
          </w:tcPr>
          <w:p>
            <w:pPr>
              <w:pStyle w:val="TableContents"/>
              <w:bidi w:val="0"/>
              <w:spacing w:before="0" w:after="283"/>
              <w:jc w:val="left"/>
            </w:pPr>
            <w:r>
              <w:t> </w:t>
            </w:r>
          </w:p>
        </w:tc>
      </w:tr>
      <w:tr>
        <w:tc>
          <w:tcPr>
            <w:tcW w:w="456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investments in sales-type leases - current portion (1)</w:t>
            </w:r>
          </w:p>
        </w:tc>
        <w:tc>
          <w:tcPr>
            <w:tcW w:w="60" w:type="dxa"/>
            <w:tcBorders/>
            <w:shd w:fill="CCEEFF" w:val="clear"/>
            <w:vAlign w:val="center"/>
          </w:tcPr>
          <w:p>
            <w:pPr>
              <w:pStyle w:val="TableContents"/>
              <w:bidi w:val="0"/>
              <w:spacing w:before="0" w:after="283"/>
              <w:ind w:left="0" w:right="0" w:hanging="0"/>
              <w:jc w:val="left"/>
            </w:pPr>
            <w: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14,248</w:t>
            </w:r>
          </w:p>
        </w:tc>
        <w:tc>
          <w:tcPr>
            <w:tcW w:w="75" w:type="dxa"/>
            <w:tcBorders/>
            <w:shd w:fill="CCEEFF" w:val="clear"/>
            <w:vAlign w:val="center"/>
          </w:tcPr>
          <w:p>
            <w:pPr>
              <w:pStyle w:val="TableContents"/>
              <w:bidi w:val="0"/>
              <w:spacing w:before="0" w:after="283"/>
              <w:jc w:val="left"/>
            </w:pPr>
            <w:r>
              <w:t> </w:t>
            </w:r>
          </w:p>
        </w:tc>
      </w:tr>
      <w:tr>
        <w:tc>
          <w:tcPr>
            <w:tcW w:w="4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assets (2)</w:t>
            </w:r>
          </w:p>
        </w:tc>
        <w:tc>
          <w:tcPr>
            <w:tcW w:w="60" w:type="dxa"/>
            <w:tcBorders/>
            <w:shd w:fill="FFFFFF" w:val="clear"/>
            <w:vAlign w:val="center"/>
          </w:tcPr>
          <w:p>
            <w:pPr>
              <w:pStyle w:val="TableContents"/>
              <w:bidi w:val="0"/>
              <w:spacing w:before="0" w:after="283"/>
              <w:jc w:val="left"/>
            </w:pPr>
            <w:r>
              <w:t> </w:t>
            </w:r>
          </w:p>
        </w:tc>
        <w:tc>
          <w:tcPr>
            <w:tcW w:w="207"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27,663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9" w:type="dxa"/>
            <w:tcBorders/>
            <w:shd w:fill="FFFFFF" w:val="clear"/>
            <w:vAlign w:val="center"/>
          </w:tcPr>
          <w:p>
            <w:pPr>
              <w:pStyle w:val="TableContents"/>
              <w:bidi w:val="0"/>
              <w:spacing w:before="0" w:after="283"/>
              <w:ind w:left="0" w:right="0" w:hanging="0"/>
              <w:jc w:val="left"/>
            </w:pPr>
            <w: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11,267</w:t>
            </w:r>
          </w:p>
        </w:tc>
        <w:tc>
          <w:tcPr>
            <w:tcW w:w="75" w:type="dxa"/>
            <w:tcBorders/>
            <w:shd w:fill="FFFFFF" w:val="clear"/>
            <w:vAlign w:val="center"/>
          </w:tcPr>
          <w:p>
            <w:pPr>
              <w:pStyle w:val="TableContents"/>
              <w:bidi w:val="0"/>
              <w:spacing w:before="0" w:after="283"/>
              <w:jc w:val="left"/>
            </w:pPr>
            <w:r>
              <w:t> </w:t>
            </w:r>
          </w:p>
        </w:tc>
      </w:tr>
      <w:tr>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p>
        </w:tc>
        <w:tc>
          <w:tcPr>
            <w:tcW w:w="6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ind w:left="0" w:right="0" w:hanging="0"/>
              <w:jc w:val="left"/>
            </w:pPr>
            <w: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9" w:type="dxa"/>
            <w:tcBorders/>
            <w:shd w:fill="CCEEFF" w:val="clear"/>
            <w:vAlign w:val="center"/>
          </w:tcPr>
          <w:p>
            <w:pPr>
              <w:pStyle w:val="TableContents"/>
              <w:bidi w:val="0"/>
              <w:spacing w:before="0" w:after="283"/>
              <w:ind w:left="0" w:right="0" w:hanging="0"/>
              <w:jc w:val="left"/>
            </w:pPr>
            <w: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6,595</w:t>
            </w:r>
          </w:p>
        </w:tc>
        <w:tc>
          <w:tcPr>
            <w:tcW w:w="75" w:type="dxa"/>
            <w:tcBorders/>
            <w:shd w:fill="CCEEFF" w:val="clear"/>
            <w:vAlign w:val="center"/>
          </w:tcPr>
          <w:p>
            <w:pPr>
              <w:pStyle w:val="TableContents"/>
              <w:bidi w:val="0"/>
              <w:spacing w:before="0" w:after="283"/>
              <w:jc w:val="left"/>
            </w:pPr>
            <w:r>
              <w:t> </w:t>
            </w:r>
          </w:p>
        </w:tc>
      </w:tr>
      <w:tr>
        <w:tc>
          <w:tcPr>
            <w:tcW w:w="4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capitalized to obtain revenue contracts (3)</w:t>
            </w:r>
          </w:p>
        </w:tc>
        <w:tc>
          <w:tcPr>
            <w:tcW w:w="60" w:type="dxa"/>
            <w:tcBorders/>
            <w:shd w:fill="FFFFFF" w:val="clear"/>
            <w:vAlign w:val="center"/>
          </w:tcPr>
          <w:p>
            <w:pPr>
              <w:pStyle w:val="TableContents"/>
              <w:bidi w:val="0"/>
              <w:spacing w:before="0" w:after="283"/>
              <w:jc w:val="left"/>
            </w:pPr>
            <w:r>
              <w:t> </w:t>
            </w:r>
          </w:p>
        </w:tc>
        <w:tc>
          <w:tcPr>
            <w:tcW w:w="207"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9" w:type="dxa"/>
            <w:tcBorders/>
            <w:shd w:fill="FFFFFF" w:val="clear"/>
            <w:vAlign w:val="center"/>
          </w:tcPr>
          <w:p>
            <w:pPr>
              <w:pStyle w:val="TableContents"/>
              <w:bidi w:val="0"/>
              <w:spacing w:before="0" w:after="283"/>
              <w:ind w:left="0" w:right="0" w:hanging="0"/>
              <w:jc w:val="left"/>
            </w:pPr>
            <w: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2,489</w:t>
            </w:r>
          </w:p>
        </w:tc>
        <w:tc>
          <w:tcPr>
            <w:tcW w:w="75" w:type="dxa"/>
            <w:tcBorders/>
            <w:shd w:fill="FFFFFF" w:val="clear"/>
            <w:vAlign w:val="center"/>
          </w:tcPr>
          <w:p>
            <w:pPr>
              <w:pStyle w:val="TableContents"/>
              <w:bidi w:val="0"/>
              <w:spacing w:before="0" w:after="283"/>
              <w:ind w:left="0" w:right="0" w:hanging="0"/>
              <w:jc w:val="left"/>
            </w:pPr>
            <w:r>
              <w:t> </w:t>
            </w:r>
          </w:p>
        </w:tc>
      </w:tr>
      <w:tr>
        <w:tc>
          <w:tcPr>
            <w:tcW w:w="4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0"/>
              <w:ind w:left="0" w:right="0" w:hanging="0"/>
              <w:jc w:val="left"/>
            </w:pPr>
            <w:r>
              <w:t> </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9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3,192</w:t>
            </w:r>
          </w:p>
        </w:tc>
        <w:tc>
          <w:tcPr>
            <w:tcW w:w="60" w:type="dxa"/>
            <w:tcBorders/>
            <w:shd w:fill="CCEEFF" w:val="clear"/>
            <w:vAlign w:val="center"/>
          </w:tcPr>
          <w:p>
            <w:pPr>
              <w:pStyle w:val="TableContents"/>
              <w:bidi w:val="0"/>
              <w:spacing w:before="0" w:after="0"/>
              <w:ind w:left="0" w:right="0" w:hanging="0"/>
              <w:jc w:val="left"/>
            </w:pPr>
            <w:r>
              <w:t> </w:t>
            </w:r>
          </w:p>
        </w:tc>
        <w:tc>
          <w:tcPr>
            <w:tcW w:w="60" w:type="dxa"/>
            <w:tcBorders/>
            <w:shd w:fill="CCEEFF" w:val="clear"/>
            <w:vAlign w:val="center"/>
          </w:tcPr>
          <w:p>
            <w:pPr>
              <w:pStyle w:val="TableContents"/>
              <w:bidi w:val="0"/>
              <w:spacing w:before="0" w:after="0"/>
              <w:ind w:left="0" w:right="0" w:hanging="0"/>
              <w:jc w:val="left"/>
            </w:pPr>
            <w: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pPr>
            <w: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4,136</w:t>
            </w:r>
          </w:p>
        </w:tc>
        <w:tc>
          <w:tcPr>
            <w:tcW w:w="75" w:type="dxa"/>
            <w:tcBorders/>
            <w:shd w:fill="CCEEFF" w:val="clear"/>
            <w:vAlign w:val="center"/>
          </w:tcPr>
          <w:p>
            <w:pPr>
              <w:pStyle w:val="TableContents"/>
              <w:bidi w:val="0"/>
              <w:spacing w:before="0" w:after="0"/>
              <w:jc w:val="left"/>
            </w:pPr>
            <w:r>
              <w:t> </w:t>
            </w:r>
          </w:p>
        </w:tc>
      </w:tr>
      <w:tr>
        <w:tc>
          <w:tcPr>
            <w:tcW w:w="4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prepaid expenses and other current assets</w:t>
            </w:r>
          </w:p>
        </w:tc>
        <w:tc>
          <w:tcPr>
            <w:tcW w:w="60" w:type="dxa"/>
            <w:tcBorders/>
            <w:shd w:fill="FFFFFF" w:val="clear"/>
            <w:vAlign w:val="center"/>
          </w:tcPr>
          <w:p>
            <w:pPr>
              <w:pStyle w:val="TableContents"/>
              <w:bidi w:val="0"/>
              <w:spacing w:before="0" w:after="283"/>
              <w:ind w:left="0" w:right="0" w:hanging="0"/>
              <w:jc w:val="left"/>
            </w:pPr>
            <w: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53,185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38,735</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HorizontalLine"/>
        <w:pBdr>
          <w:bottom w:val="double" w:sz="2" w:space="0" w:color="808080"/>
        </w:pBdr>
        <w:bidi w:val="0"/>
        <w:spacing w:before="0" w:after="283"/>
        <w:jc w:val="left"/>
      </w:pPr>
      <w:r/>
    </w:p>
    <w:tbl>
      <w:tblPr>
        <w:tblW w:w="10205" w:type="dxa"/>
        <w:jc w:val="left"/>
        <w:tblInd w:w="0" w:type="dxa"/>
        <w:tblLayout w:type="fixed"/>
        <w:tblCellMar>
          <w:top w:w="0" w:type="dxa"/>
          <w:left w:w="0" w:type="dxa"/>
          <w:bottom w:w="0" w:type="dxa"/>
          <w:right w:w="0" w:type="dxa"/>
        </w:tblCellMar>
      </w:tblPr>
      <w:tblGrid>
        <w:gridCol w:w="60"/>
        <w:gridCol w:w="284"/>
        <w:gridCol w:w="9861"/>
      </w:tblGrid>
      <w:tr>
        <w:tc>
          <w:tcPr>
            <w:tcW w:w="60" w:type="dxa"/>
            <w:tcBorders/>
            <w:vAlign w:val="center"/>
          </w:tcPr>
          <w:p>
            <w:pPr>
              <w:pStyle w:val="TableContents"/>
              <w:bidi w:val="0"/>
              <w:spacing w:before="0" w:after="283"/>
              <w:jc w:val="left"/>
            </w:pPr>
            <w:r>
              <w:t> </w:t>
            </w:r>
          </w:p>
        </w:tc>
        <w:tc>
          <w:tcPr>
            <w:tcW w:w="284" w:type="dxa"/>
            <w:tcBorders/>
            <w:vAlign w:val="center"/>
          </w:tcPr>
          <w:p>
            <w:pPr>
              <w:pStyle w:val="TableContents"/>
              <w:bidi w:val="0"/>
              <w:spacing w:before="0" w:after="0"/>
              <w:ind w:left="0" w:right="0" w:hanging="0"/>
              <w:jc w:val="left"/>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861" w:type="dxa"/>
            <w:tcBorders/>
            <w:vAlign w:val="center"/>
          </w:tcPr>
          <w:p>
            <w:pPr>
              <w:pStyle w:val="TableContents"/>
              <w:bidi w:val="0"/>
              <w:spacing w:before="0" w:after="0"/>
              <w:ind w:left="0" w:right="0" w:hanging="0"/>
              <w:jc w:val="both"/>
            </w:pPr>
            <w:r>
              <w:rPr>
                <w:rFonts w:ascii="Times New Roman" w:hAnsi="Times New Roman"/>
                <w:caps w:val="false"/>
                <w:smallCaps w:val="false"/>
                <w:sz w:val="20"/>
              </w:rPr>
              <w:t xml:space="preserve">See “Other Non-current Assets” section under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t>
            </w:r>
            <w:r>
              <w:rPr>
                <w:rFonts w:ascii="Times New Roman" w:hAnsi="Times New Roman"/>
                <w:i/>
                <w:caps w:val="false"/>
                <w:smallCaps w:val="false"/>
                <w:sz w:val="20"/>
              </w:rPr>
              <w:t>Balance Sheet Components</w:t>
            </w:r>
            <w:r>
              <w:rPr>
                <w:rFonts w:ascii="Times New Roman" w:hAnsi="Times New Roman"/>
                <w:caps w:val="false"/>
                <w:smallCaps w:val="false"/>
                <w:sz w:val="20"/>
              </w:rPr>
              <w:t>.</w:t>
            </w:r>
          </w:p>
        </w:tc>
      </w:tr>
      <w:tr>
        <w:tc>
          <w:tcPr>
            <w:tcW w:w="60" w:type="dxa"/>
            <w:tcBorders/>
            <w:vAlign w:val="center"/>
          </w:tcPr>
          <w:p>
            <w:pPr>
              <w:pStyle w:val="TableContents"/>
              <w:bidi w:val="0"/>
              <w:spacing w:before="0" w:after="283"/>
              <w:jc w:val="left"/>
            </w:pPr>
            <w:r>
              <w:t> </w:t>
            </w:r>
          </w:p>
        </w:tc>
        <w:tc>
          <w:tcPr>
            <w:tcW w:w="284" w:type="dxa"/>
            <w:tcBorders/>
            <w:vAlign w:val="center"/>
          </w:tcPr>
          <w:p>
            <w:pPr>
              <w:pStyle w:val="TableContents"/>
              <w:bidi w:val="0"/>
              <w:spacing w:before="0" w:after="283"/>
              <w:jc w:val="left"/>
            </w:pPr>
            <w:r>
              <w:t>(</w:t>
            </w:r>
            <w:r>
              <w:rPr>
                <w:rStyle w:val="Emphasis"/>
              </w:rPr>
              <w:t>2</w:t>
            </w:r>
            <w:r>
              <w:t>)</w:t>
            </w:r>
          </w:p>
        </w:tc>
        <w:tc>
          <w:tcPr>
            <w:tcW w:w="9861" w:type="dxa"/>
            <w:tcBorders/>
            <w:vAlign w:val="center"/>
          </w:tcPr>
          <w:p>
            <w:pPr>
              <w:pStyle w:val="TableContents"/>
              <w:bidi w:val="0"/>
              <w:spacing w:before="0" w:after="283"/>
              <w:jc w:val="left"/>
            </w:pPr>
            <w:r>
              <w:t xml:space="preserve">See “Contract Balances” section under Note </w:t>
            </w:r>
            <w:r>
              <w:rPr>
                <w:rStyle w:val="Emphasis"/>
              </w:rPr>
              <w:t>2,</w:t>
            </w:r>
            <w:r>
              <w:t xml:space="preserve"> </w:t>
            </w:r>
            <w:r>
              <w:rPr>
                <w:i/>
              </w:rPr>
              <w:t>Revenue from Contracts with Customers</w:t>
            </w:r>
            <w:r>
              <w:t>.</w:t>
            </w:r>
          </w:p>
        </w:tc>
      </w:tr>
      <w:tr>
        <w:tc>
          <w:tcPr>
            <w:tcW w:w="60" w:type="dxa"/>
            <w:tcBorders/>
            <w:vAlign w:val="center"/>
          </w:tcPr>
          <w:p>
            <w:pPr>
              <w:pStyle w:val="TableContents"/>
              <w:bidi w:val="0"/>
              <w:spacing w:before="0" w:after="283"/>
              <w:jc w:val="left"/>
            </w:pPr>
            <w:r>
              <w:t> </w:t>
            </w:r>
          </w:p>
        </w:tc>
        <w:tc>
          <w:tcPr>
            <w:tcW w:w="284" w:type="dxa"/>
            <w:tcBorders/>
            <w:vAlign w:val="center"/>
          </w:tcPr>
          <w:p>
            <w:pPr>
              <w:pStyle w:val="TableContents"/>
              <w:bidi w:val="0"/>
              <w:spacing w:before="0" w:after="283"/>
              <w:jc w:val="left"/>
            </w:pPr>
            <w:r>
              <w:t>(</w:t>
            </w:r>
            <w:r>
              <w:rPr>
                <w:rStyle w:val="Emphasis"/>
              </w:rPr>
              <w:t>3</w:t>
            </w:r>
            <w:r>
              <w:t>)</w:t>
            </w:r>
          </w:p>
        </w:tc>
        <w:tc>
          <w:tcPr>
            <w:tcW w:w="9861" w:type="dxa"/>
            <w:tcBorders/>
            <w:vAlign w:val="center"/>
          </w:tcPr>
          <w:p>
            <w:pPr>
              <w:pStyle w:val="TableContents"/>
              <w:bidi w:val="0"/>
              <w:spacing w:before="0" w:after="283"/>
              <w:jc w:val="left"/>
            </w:pPr>
            <w:r>
              <w:t xml:space="preserve">See “Costs to Obtain or Fulfill a Contract” section under Note </w:t>
            </w:r>
            <w:r>
              <w:rPr>
                <w:rStyle w:val="Emphasis"/>
              </w:rPr>
              <w:t>2,</w:t>
            </w:r>
            <w:r>
              <w:t xml:space="preserve"> </w:t>
            </w:r>
            <w:r>
              <w:rPr>
                <w:i/>
              </w:rPr>
              <w:t>Revenue from Contracts with Customers</w:t>
            </w:r>
            <w:r>
              <w:t>. </w:t>
            </w:r>
          </w:p>
        </w:tc>
      </w:tr>
    </w:tbl>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Property and equipment, net consist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833" w:type="dxa"/>
        <w:jc w:val="left"/>
        <w:tblInd w:w="0" w:type="dxa"/>
        <w:tblLayout w:type="fixed"/>
        <w:tblCellMar>
          <w:top w:w="0" w:type="dxa"/>
          <w:left w:w="0" w:type="dxa"/>
          <w:bottom w:w="0" w:type="dxa"/>
          <w:right w:w="0" w:type="dxa"/>
        </w:tblCellMar>
      </w:tblPr>
      <w:tblGrid>
        <w:gridCol w:w="4220"/>
        <w:gridCol w:w="60"/>
        <w:gridCol w:w="180"/>
        <w:gridCol w:w="1009"/>
        <w:gridCol w:w="80"/>
        <w:gridCol w:w="60"/>
        <w:gridCol w:w="173"/>
        <w:gridCol w:w="971"/>
        <w:gridCol w:w="80"/>
      </w:tblGrid>
      <w:tr>
        <w:tc>
          <w:tcPr>
            <w:tcW w:w="42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pPr>
            <w:r>
              <w:t> </w:t>
            </w:r>
          </w:p>
        </w:tc>
      </w:tr>
      <w:tr>
        <w:tc>
          <w:tcPr>
            <w:tcW w:w="422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equipment</w:t>
            </w:r>
          </w:p>
        </w:tc>
        <w:tc>
          <w:tcPr>
            <w:tcW w:w="60" w:type="dxa"/>
            <w:tcBorders/>
            <w:shd w:fill="CCEEFF" w:val="clear"/>
            <w:vAlign w:val="center"/>
          </w:tcPr>
          <w:p>
            <w:pPr>
              <w:pStyle w:val="TableContents"/>
              <w:bidi w:val="0"/>
              <w:spacing w:before="0" w:after="283"/>
              <w:ind w:left="0" w:right="0" w:hanging="0"/>
              <w:jc w:val="left"/>
            </w:pPr>
            <w: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14,547</w:t>
            </w:r>
          </w:p>
        </w:tc>
        <w:tc>
          <w:tcPr>
            <w:tcW w:w="80" w:type="dxa"/>
            <w:tcBorders/>
            <w:shd w:fill="CCEEFF" w:val="clear"/>
            <w:vAlign w:val="center"/>
          </w:tcPr>
          <w:p>
            <w:pPr>
              <w:pStyle w:val="TableContents"/>
              <w:bidi w:val="0"/>
              <w:spacing w:before="0" w:after="283"/>
              <w:jc w:val="left"/>
            </w:pPr>
            <w:r>
              <w:t> </w:t>
            </w:r>
          </w:p>
        </w:tc>
      </w:tr>
      <w:t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Software and capitalized software development cost</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18,478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10,408</w:t>
            </w:r>
          </w:p>
        </w:tc>
        <w:tc>
          <w:tcPr>
            <w:tcW w:w="80" w:type="dxa"/>
            <w:tcBorders/>
            <w:shd w:fill="FFFFFF" w:val="clear"/>
            <w:vAlign w:val="center"/>
          </w:tcPr>
          <w:p>
            <w:pPr>
              <w:pStyle w:val="TableContents"/>
              <w:bidi w:val="0"/>
              <w:spacing w:before="0" w:after="283"/>
              <w:jc w:val="left"/>
            </w:pPr>
            <w:r>
              <w:t> </w:t>
            </w:r>
          </w:p>
        </w:tc>
      </w:tr>
      <w:t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fixtures, and equipment</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ind w:left="0" w:right="0" w:hanging="0"/>
              <w:jc w:val="left"/>
            </w:pPr>
            <w:r>
              <w:t> </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w:t>
            </w:r>
          </w:p>
        </w:tc>
        <w:tc>
          <w:tcPr>
            <w:tcW w:w="80" w:type="dxa"/>
            <w:tcBorders/>
            <w:shd w:fill="CCEEFF" w:val="clear"/>
            <w:vAlign w:val="center"/>
          </w:tcPr>
          <w:p>
            <w:pPr>
              <w:pStyle w:val="TableContents"/>
              <w:bidi w:val="0"/>
              <w:spacing w:before="0" w:after="283"/>
              <w:jc w:val="left"/>
            </w:pPr>
            <w:r>
              <w:t> </w:t>
            </w:r>
          </w:p>
        </w:tc>
      </w:tr>
      <w:t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7,033</w:t>
            </w:r>
          </w:p>
        </w:tc>
        <w:tc>
          <w:tcPr>
            <w:tcW w:w="80" w:type="dxa"/>
            <w:tcBorders/>
            <w:shd w:fill="FFFFFF" w:val="clear"/>
            <w:vAlign w:val="center"/>
          </w:tcPr>
          <w:p>
            <w:pPr>
              <w:pStyle w:val="TableContents"/>
              <w:bidi w:val="0"/>
              <w:spacing w:before="0" w:after="283"/>
              <w:jc w:val="left"/>
            </w:pPr>
            <w:r>
              <w:t> </w:t>
            </w:r>
          </w:p>
        </w:tc>
      </w:tr>
      <w:t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Laboratory and other equipment</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ind w:left="0" w:right="0" w:hanging="0"/>
              <w:jc w:val="left"/>
            </w:pPr>
            <w: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ind w:left="0" w:right="0" w:hanging="0"/>
              <w:jc w:val="left"/>
            </w:pPr>
            <w:r>
              <w:t> </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6,737</w:t>
            </w:r>
          </w:p>
        </w:tc>
        <w:tc>
          <w:tcPr>
            <w:tcW w:w="80" w:type="dxa"/>
            <w:tcBorders/>
            <w:shd w:fill="CCEEFF" w:val="clear"/>
            <w:vAlign w:val="center"/>
          </w:tcPr>
          <w:p>
            <w:pPr>
              <w:pStyle w:val="TableContents"/>
              <w:bidi w:val="0"/>
              <w:spacing w:before="0" w:after="283"/>
              <w:jc w:val="left"/>
            </w:pPr>
            <w:r>
              <w:t> </w:t>
            </w:r>
          </w:p>
        </w:tc>
      </w:tr>
      <w:t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Test equipment</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46,750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33,268</w:t>
            </w:r>
          </w:p>
        </w:tc>
        <w:tc>
          <w:tcPr>
            <w:tcW w:w="80" w:type="dxa"/>
            <w:tcBorders/>
            <w:shd w:fill="FFFFFF" w:val="clear"/>
            <w:vAlign w:val="center"/>
          </w:tcPr>
          <w:p>
            <w:pPr>
              <w:pStyle w:val="TableContents"/>
              <w:bidi w:val="0"/>
              <w:spacing w:before="0" w:after="283"/>
              <w:jc w:val="left"/>
            </w:pPr>
            <w:r>
              <w:t> </w:t>
            </w:r>
          </w:p>
        </w:tc>
      </w:tr>
      <w:t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in progress:</w:t>
            </w:r>
          </w:p>
        </w:tc>
        <w:tc>
          <w:tcPr>
            <w:tcW w:w="60" w:type="dxa"/>
            <w:tcBorders/>
            <w:shd w:fill="CCEEFF" w:val="clear"/>
            <w:vAlign w:val="center"/>
          </w:tcPr>
          <w:p>
            <w:pPr>
              <w:pStyle w:val="TableContents"/>
              <w:bidi w:val="0"/>
              <w:spacing w:before="0" w:after="283"/>
              <w:jc w:val="left"/>
            </w:pPr>
            <w:r>
              <w:t> </w:t>
            </w:r>
          </w:p>
        </w:tc>
        <w:tc>
          <w:tcPr>
            <w:tcW w:w="180" w:type="dxa"/>
            <w:tcBorders/>
            <w:shd w:fill="CCEEFF" w:val="clear"/>
            <w:vAlign w:val="center"/>
          </w:tcPr>
          <w:p>
            <w:pPr>
              <w:pStyle w:val="TableContents"/>
              <w:bidi w:val="0"/>
              <w:spacing w:before="0" w:after="283"/>
              <w:jc w:val="left"/>
            </w:pPr>
            <w:r>
              <w:t> </w:t>
            </w:r>
          </w:p>
        </w:tc>
        <w:tc>
          <w:tcPr>
            <w:tcW w:w="1009"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3" w:type="dxa"/>
            <w:tcBorders/>
            <w:shd w:fill="CCEEFF" w:val="clear"/>
            <w:vAlign w:val="center"/>
          </w:tcPr>
          <w:p>
            <w:pPr>
              <w:pStyle w:val="TableContents"/>
              <w:bidi w:val="0"/>
              <w:spacing w:before="0" w:after="283"/>
              <w:jc w:val="left"/>
            </w:pPr>
            <w:r>
              <w:t> </w:t>
            </w:r>
          </w:p>
        </w:tc>
        <w:tc>
          <w:tcPr>
            <w:tcW w:w="971"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4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DirectScan system assets</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53,695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49,184</w:t>
            </w:r>
          </w:p>
        </w:tc>
        <w:tc>
          <w:tcPr>
            <w:tcW w:w="80" w:type="dxa"/>
            <w:tcBorders/>
            <w:shd w:fill="FFFFFF" w:val="clear"/>
            <w:vAlign w:val="center"/>
          </w:tcPr>
          <w:p>
            <w:pPr>
              <w:pStyle w:val="TableContents"/>
              <w:bidi w:val="0"/>
              <w:spacing w:before="0" w:after="283"/>
              <w:jc w:val="left"/>
            </w:pPr>
            <w:r>
              <w:t> </w:t>
            </w:r>
          </w:p>
        </w:tc>
      </w:tr>
      <w:tr>
        <w:tc>
          <w:tcPr>
            <w:tcW w:w="4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CV system and other assets</w:t>
            </w:r>
          </w:p>
        </w:tc>
        <w:tc>
          <w:tcPr>
            <w:tcW w:w="60" w:type="dxa"/>
            <w:tcBorders/>
            <w:shd w:fill="CCEEFF" w:val="clear"/>
            <w:vAlign w:val="center"/>
          </w:tcPr>
          <w:p>
            <w:pPr>
              <w:pStyle w:val="TableContents"/>
              <w:bidi w:val="0"/>
              <w:spacing w:before="0" w:after="283"/>
              <w:jc w:val="left"/>
            </w:pPr>
            <w: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and equipment</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160,871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3" w:type="dxa"/>
            <w:tcBorders/>
            <w:shd w:fill="FFFFFF" w:val="clear"/>
            <w:vAlign w:val="center"/>
          </w:tcPr>
          <w:p>
            <w:pPr>
              <w:pStyle w:val="TableContents"/>
              <w:bidi w:val="0"/>
              <w:spacing w:before="0" w:after="283"/>
              <w:ind w:left="0" w:right="0" w:hanging="0"/>
              <w:jc w:val="left"/>
            </w:pPr>
            <w:r>
              <w:t> </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132,466</w:t>
            </w:r>
          </w:p>
        </w:tc>
        <w:tc>
          <w:tcPr>
            <w:tcW w:w="80" w:type="dxa"/>
            <w:tcBorders/>
            <w:shd w:fill="FFFFFF" w:val="clear"/>
            <w:vAlign w:val="center"/>
          </w:tcPr>
          <w:p>
            <w:pPr>
              <w:pStyle w:val="TableContents"/>
              <w:bidi w:val="0"/>
              <w:spacing w:before="0" w:after="283"/>
              <w:jc w:val="left"/>
            </w:pPr>
            <w:r>
              <w:t> </w:t>
            </w:r>
          </w:p>
        </w:tc>
      </w:tr>
      <w:t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pPr>
            <w: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(56,538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(50,857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and equipment, net</w:t>
            </w:r>
          </w:p>
        </w:tc>
        <w:tc>
          <w:tcPr>
            <w:tcW w:w="60" w:type="dxa"/>
            <w:tcBorders/>
            <w:shd w:fill="FFFFFF" w:val="clear"/>
            <w:vAlign w:val="center"/>
          </w:tcPr>
          <w:p>
            <w:pPr>
              <w:pStyle w:val="TableContents"/>
              <w:bidi w:val="0"/>
              <w:spacing w:before="0" w:after="283"/>
              <w:ind w:left="0" w:right="0" w:hanging="0"/>
              <w:jc w:val="left"/>
            </w:pPr>
            <w: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104,333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360"/>
        <w:jc w:val="both"/>
      </w:pPr>
      <w:r>
        <w:rPr>
          <w:rFonts w:ascii="Times New Roman" w:hAnsi="Times New Roman"/>
          <w:caps w:val="false"/>
          <w:smallCaps w:val="false"/>
          <w:sz w:val="20"/>
        </w:rPr>
        <w:t xml:space="preserve">Test equipment mainly includes DirectScan system and CV system assets at customer sites that generate revenue. Property and equipment in progress represent mainly the development or construction of property and equipment that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placed in service for the Company’s intended use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depreciated. Depreciation and amortization expense was $2.2 million and $1.1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and $5.9 million and $2.6 million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Goodwill and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changes in goodwill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593" w:type="dxa"/>
        <w:jc w:val="left"/>
        <w:tblInd w:w="0" w:type="dxa"/>
        <w:tblLayout w:type="fixed"/>
        <w:tblCellMar>
          <w:top w:w="0" w:type="dxa"/>
          <w:left w:w="0" w:type="dxa"/>
          <w:bottom w:w="0" w:type="dxa"/>
          <w:right w:w="0" w:type="dxa"/>
        </w:tblCellMar>
      </w:tblPr>
      <w:tblGrid>
        <w:gridCol w:w="3590"/>
        <w:gridCol w:w="60"/>
        <w:gridCol w:w="229"/>
        <w:gridCol w:w="1084"/>
        <w:gridCol w:w="147"/>
        <w:gridCol w:w="110"/>
        <w:gridCol w:w="229"/>
        <w:gridCol w:w="1084"/>
        <w:gridCol w:w="60"/>
      </w:tblGrid>
      <w:tr>
        <w:tc>
          <w:tcPr>
            <w:tcW w:w="359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59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47"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13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the beginning of period</w:t>
            </w:r>
          </w:p>
        </w:tc>
        <w:tc>
          <w:tcPr>
            <w:tcW w:w="60" w:type="dxa"/>
            <w:tcBorders/>
            <w:shd w:fill="CCEEFF" w:val="clear"/>
            <w:vAlign w:val="center"/>
          </w:tcPr>
          <w:p>
            <w:pPr>
              <w:pStyle w:val="TableContents"/>
              <w:bidi w:val="0"/>
              <w:spacing w:before="0" w:after="283"/>
              <w:ind w:left="0" w:right="0" w:hanging="0"/>
              <w:jc w:val="left"/>
            </w:pPr>
            <w:r>
              <w:t> </w:t>
            </w:r>
          </w:p>
        </w:tc>
        <w:tc>
          <w:tcPr>
            <w:tcW w:w="2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95,005</w:t>
            </w:r>
          </w:p>
        </w:tc>
        <w:tc>
          <w:tcPr>
            <w:tcW w:w="147"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2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14,953</w:t>
            </w:r>
          </w:p>
        </w:tc>
        <w:tc>
          <w:tcPr>
            <w:tcW w:w="60" w:type="dxa"/>
            <w:tcBorders/>
            <w:shd w:fill="CCEEFF" w:val="clear"/>
            <w:vAlign w:val="center"/>
          </w:tcPr>
          <w:p>
            <w:pPr>
              <w:pStyle w:val="TableContents"/>
              <w:bidi w:val="0"/>
              <w:spacing w:before="0" w:after="283"/>
              <w:jc w:val="left"/>
            </w:pPr>
            <w:r>
              <w:t> </w:t>
            </w:r>
          </w:p>
        </w:tc>
      </w:tr>
      <w:t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 (1)</w:t>
            </w:r>
          </w:p>
        </w:tc>
        <w:tc>
          <w:tcPr>
            <w:tcW w:w="60" w:type="dxa"/>
            <w:tcBorders/>
            <w:shd w:fill="FFFFFF" w:val="clear"/>
            <w:vAlign w:val="center"/>
          </w:tcPr>
          <w:p>
            <w:pPr>
              <w:pStyle w:val="TableContents"/>
              <w:bidi w:val="0"/>
              <w:spacing w:before="0" w:after="283"/>
              <w:jc w:val="left"/>
            </w:pPr>
            <w:r>
              <w:t> </w:t>
            </w:r>
          </w:p>
        </w:tc>
        <w:tc>
          <w:tcPr>
            <w:tcW w:w="229" w:type="dxa"/>
            <w:tcBorders/>
            <w:shd w:fill="FFFFFF" w:val="clear"/>
            <w:vAlign w:val="center"/>
          </w:tcPr>
          <w:p>
            <w:pPr>
              <w:pStyle w:val="TableContents"/>
              <w:bidi w:val="0"/>
              <w:spacing w:before="0" w:after="283"/>
              <w:ind w:left="0" w:right="0" w:hanging="0"/>
              <w:jc w:val="left"/>
            </w:pPr>
            <w:r>
              <w:t> </w:t>
            </w:r>
          </w:p>
        </w:tc>
        <w:tc>
          <w:tcPr>
            <w:tcW w:w="1084" w:type="dxa"/>
            <w:tcBorders/>
            <w:shd w:fill="FFFFFF" w:val="clear"/>
            <w:vAlign w:val="center"/>
          </w:tcPr>
          <w:p>
            <w:pPr>
              <w:pStyle w:val="TableContents"/>
              <w:bidi w:val="0"/>
              <w:spacing w:before="0" w:after="283"/>
              <w:ind w:left="0" w:right="0" w:hanging="0"/>
              <w:jc w:val="right"/>
            </w:pPr>
            <w:r>
              <w:t>—</w:t>
            </w:r>
          </w:p>
        </w:tc>
        <w:tc>
          <w:tcPr>
            <w:tcW w:w="147"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229" w:type="dxa"/>
            <w:tcBorders/>
            <w:shd w:fill="FFFFFF" w:val="clear"/>
            <w:vAlign w:val="center"/>
          </w:tcPr>
          <w:p>
            <w:pPr>
              <w:pStyle w:val="TableContents"/>
              <w:bidi w:val="0"/>
              <w:spacing w:before="0" w:after="283"/>
              <w:ind w:left="0" w:right="0" w:hanging="0"/>
              <w:jc w:val="left"/>
            </w:pPr>
            <w:r>
              <w:t> </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81,799</w:t>
            </w:r>
          </w:p>
        </w:tc>
        <w:tc>
          <w:tcPr>
            <w:tcW w:w="60" w:type="dxa"/>
            <w:tcBorders/>
            <w:shd w:fill="FFFFFF" w:val="clear"/>
            <w:vAlign w:val="center"/>
          </w:tcPr>
          <w:p>
            <w:pPr>
              <w:pStyle w:val="TableContents"/>
              <w:bidi w:val="0"/>
              <w:spacing w:before="0" w:after="283"/>
              <w:jc w:val="left"/>
            </w:pPr>
            <w:r>
              <w:t> </w:t>
            </w:r>
          </w:p>
        </w:tc>
      </w:tr>
      <w:t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Measurement period acquisition adjustment</w:t>
            </w:r>
          </w:p>
        </w:tc>
        <w:tc>
          <w:tcPr>
            <w:tcW w:w="60" w:type="dxa"/>
            <w:tcBorders/>
            <w:shd w:fill="CCEEFF" w:val="clear"/>
            <w:vAlign w:val="center"/>
          </w:tcPr>
          <w:p>
            <w:pPr>
              <w:pStyle w:val="TableContents"/>
              <w:bidi w:val="0"/>
              <w:spacing w:before="0" w:after="283"/>
              <w:jc w:val="left"/>
            </w:pPr>
            <w:r>
              <w:t> </w:t>
            </w:r>
          </w:p>
        </w:tc>
        <w:tc>
          <w:tcPr>
            <w:tcW w:w="229" w:type="dxa"/>
            <w:tcBorders/>
            <w:shd w:fill="CCEEFF" w:val="clear"/>
            <w:vAlign w:val="center"/>
          </w:tcPr>
          <w:p>
            <w:pPr>
              <w:pStyle w:val="TableContents"/>
              <w:bidi w:val="0"/>
              <w:spacing w:before="0" w:after="283"/>
              <w:ind w:left="0" w:right="0" w:hanging="0"/>
              <w:jc w:val="left"/>
            </w:pPr>
            <w: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47"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jc w:val="left"/>
            </w:pPr>
            <w:r>
              <w:t> </w:t>
            </w:r>
          </w:p>
        </w:tc>
        <w:tc>
          <w:tcPr>
            <w:tcW w:w="229" w:type="dxa"/>
            <w:tcBorders/>
            <w:shd w:fill="CCEEFF" w:val="clear"/>
            <w:vAlign w:val="center"/>
          </w:tcPr>
          <w:p>
            <w:pPr>
              <w:pStyle w:val="TableContents"/>
              <w:bidi w:val="0"/>
              <w:spacing w:before="0" w:after="283"/>
              <w:ind w:left="0" w:right="0" w:hanging="0"/>
              <w:jc w:val="left"/>
            </w:pPr>
            <w:r>
              <w:t> </w:t>
            </w:r>
          </w:p>
        </w:tc>
        <w:tc>
          <w:tcPr>
            <w:tcW w:w="1084"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r>
      <w:t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pPr>
            <w: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4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pPr>
            <w: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the end of period</w:t>
            </w:r>
          </w:p>
        </w:tc>
        <w:tc>
          <w:tcPr>
            <w:tcW w:w="60" w:type="dxa"/>
            <w:tcBorders/>
            <w:shd w:fill="CCEEFF" w:val="clear"/>
            <w:vAlign w:val="center"/>
          </w:tcPr>
          <w:p>
            <w:pPr>
              <w:pStyle w:val="TableContents"/>
              <w:bidi w:val="0"/>
              <w:spacing w:before="0" w:after="283"/>
              <w:ind w:left="0" w:right="0" w:hanging="0"/>
              <w:jc w:val="left"/>
            </w:pPr>
            <w: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94,990</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96,780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HorizontalLine"/>
        <w:pBdr>
          <w:bottom w:val="double" w:sz="2" w:space="0" w:color="808080"/>
        </w:pBdr>
        <w:bidi w:val="0"/>
        <w:spacing w:before="0" w:after="283"/>
        <w:jc w:val="left"/>
      </w:pPr>
      <w:r/>
    </w:p>
    <w:tbl>
      <w:tblPr>
        <w:tblW w:w="10205" w:type="dxa"/>
        <w:jc w:val="left"/>
        <w:tblInd w:w="0" w:type="dxa"/>
        <w:tblLayout w:type="fixed"/>
        <w:tblCellMar>
          <w:top w:w="0" w:type="dxa"/>
          <w:left w:w="0" w:type="dxa"/>
          <w:bottom w:w="0" w:type="dxa"/>
          <w:right w:w="0" w:type="dxa"/>
        </w:tblCellMar>
      </w:tblPr>
      <w:tblGrid>
        <w:gridCol w:w="60"/>
        <w:gridCol w:w="172"/>
        <w:gridCol w:w="9973"/>
      </w:tblGrid>
      <w:tr>
        <w:tc>
          <w:tcPr>
            <w:tcW w:w="60" w:type="dxa"/>
            <w:tcBorders/>
            <w:vAlign w:val="center"/>
          </w:tcPr>
          <w:p>
            <w:pPr>
              <w:pStyle w:val="TableContents"/>
              <w:bidi w:val="0"/>
              <w:spacing w:before="0" w:after="283"/>
              <w:jc w:val="left"/>
            </w:pPr>
            <w:r>
              <w:t> </w:t>
            </w:r>
          </w:p>
        </w:tc>
        <w:tc>
          <w:tcPr>
            <w:tcW w:w="172" w:type="dxa"/>
            <w:tcBorders/>
            <w:vAlign w:val="center"/>
          </w:tcPr>
          <w:p>
            <w:pPr>
              <w:pStyle w:val="TableContents"/>
              <w:bidi w:val="0"/>
              <w:spacing w:before="0" w:after="0"/>
              <w:ind w:left="0" w:right="0" w:hanging="0"/>
              <w:jc w:val="left"/>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73" w:type="dxa"/>
            <w:tcBorders/>
            <w:vAlign w:val="center"/>
          </w:tcPr>
          <w:p>
            <w:pPr>
              <w:pStyle w:val="TableContents"/>
              <w:bidi w:val="0"/>
              <w:spacing w:before="0" w:after="283"/>
              <w:jc w:val="left"/>
            </w:pPr>
            <w:r>
              <w:t xml:space="preserve">The Company completed the acquisition of SecureWise LLC (“SecureWise”) on </w:t>
            </w:r>
            <w:r>
              <w:rPr>
                <w:rStyle w:val="Emphasis"/>
              </w:rPr>
              <w:t xml:space="preserve">March 7, 2025. </w:t>
            </w:r>
            <w:r>
              <w:t>See Note </w:t>
            </w:r>
            <w:r>
              <w:rPr>
                <w:rStyle w:val="Emphasis"/>
              </w:rPr>
              <w:t>14,</w:t>
            </w:r>
            <w:r>
              <w:t xml:space="preserve"> </w:t>
            </w:r>
            <w:r>
              <w:rPr>
                <w:i/>
              </w:rPr>
              <w:t>Business Combination,</w:t>
            </w:r>
            <w:r>
              <w:t xml:space="preserve"> for additional information related to the goodwill and intangible assets added from this acquisition in </w:t>
            </w:r>
            <w:r>
              <w:rPr>
                <w:rStyle w:val="Emphasis"/>
              </w:rPr>
              <w:t>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Intangible assets,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9650" w:type="dxa"/>
        <w:jc w:val="left"/>
        <w:tblInd w:w="0" w:type="dxa"/>
        <w:tblLayout w:type="fixed"/>
        <w:tblCellMar>
          <w:top w:w="0" w:type="dxa"/>
          <w:left w:w="0" w:type="dxa"/>
          <w:bottom w:w="0" w:type="dxa"/>
          <w:right w:w="0" w:type="dxa"/>
        </w:tblCellMar>
      </w:tblPr>
      <w:tblGrid>
        <w:gridCol w:w="2330"/>
        <w:gridCol w:w="60"/>
        <w:gridCol w:w="1115"/>
        <w:gridCol w:w="60"/>
        <w:gridCol w:w="60"/>
        <w:gridCol w:w="134"/>
        <w:gridCol w:w="636"/>
        <w:gridCol w:w="60"/>
        <w:gridCol w:w="60"/>
        <w:gridCol w:w="179"/>
        <w:gridCol w:w="936"/>
        <w:gridCol w:w="80"/>
        <w:gridCol w:w="60"/>
        <w:gridCol w:w="134"/>
        <w:gridCol w:w="636"/>
        <w:gridCol w:w="60"/>
        <w:gridCol w:w="60"/>
        <w:gridCol w:w="134"/>
        <w:gridCol w:w="636"/>
        <w:gridCol w:w="60"/>
        <w:gridCol w:w="60"/>
        <w:gridCol w:w="179"/>
        <w:gridCol w:w="936"/>
        <w:gridCol w:w="80"/>
        <w:gridCol w:w="60"/>
        <w:gridCol w:w="134"/>
        <w:gridCol w:w="636"/>
        <w:gridCol w:w="75"/>
      </w:tblGrid>
      <w:tr>
        <w:tc>
          <w:tcPr>
            <w:tcW w:w="23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1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1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1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 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3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Amortization</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9" w:type="dxa"/>
            <w:tcBorders/>
            <w:shd w:fill="FFFFFF" w:val="clear"/>
            <w:vAlign w:val="center"/>
          </w:tcPr>
          <w:p>
            <w:pPr>
              <w:pStyle w:val="TableContents"/>
              <w:bidi w:val="0"/>
              <w:spacing w:before="0" w:after="283"/>
              <w:jc w:val="left"/>
            </w:pPr>
            <w:r>
              <w:t> </w:t>
            </w:r>
          </w:p>
        </w:tc>
        <w:tc>
          <w:tcPr>
            <w:tcW w:w="936"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Net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9" w:type="dxa"/>
            <w:tcBorders/>
            <w:shd w:fill="FFFFFF" w:val="clear"/>
            <w:vAlign w:val="center"/>
          </w:tcPr>
          <w:p>
            <w:pPr>
              <w:pStyle w:val="TableContents"/>
              <w:bidi w:val="0"/>
              <w:spacing w:before="0" w:after="283"/>
              <w:jc w:val="left"/>
            </w:pPr>
            <w:r>
              <w:t> </w:t>
            </w:r>
          </w:p>
        </w:tc>
        <w:tc>
          <w:tcPr>
            <w:tcW w:w="936"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Net</w:t>
            </w:r>
          </w:p>
        </w:tc>
        <w:tc>
          <w:tcPr>
            <w:tcW w:w="75" w:type="dxa"/>
            <w:tcBorders/>
            <w:shd w:fill="FFFFFF" w:val="clear"/>
            <w:vAlign w:val="center"/>
          </w:tcPr>
          <w:p>
            <w:pPr>
              <w:pStyle w:val="TableContents"/>
              <w:bidi w:val="0"/>
              <w:spacing w:before="0" w:after="283"/>
              <w:jc w:val="left"/>
            </w:pPr>
            <w:r>
              <w:t> </w:t>
            </w:r>
          </w:p>
        </w:tc>
      </w:tr>
      <w:tr>
        <w:tc>
          <w:tcPr>
            <w:tcW w:w="23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Period</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Carrying</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Carrying</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Carrying</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0"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Carrying</w:t>
            </w:r>
          </w:p>
        </w:tc>
        <w:tc>
          <w:tcPr>
            <w:tcW w:w="75" w:type="dxa"/>
            <w:tcBorders/>
            <w:shd w:fill="FFFFFF" w:val="clear"/>
            <w:vAlign w:val="center"/>
          </w:tcPr>
          <w:p>
            <w:pPr>
              <w:pStyle w:val="TableContents"/>
              <w:bidi w:val="0"/>
              <w:spacing w:before="0" w:after="283"/>
              <w:jc w:val="left"/>
            </w:pPr>
            <w:r>
              <w:t> </w:t>
            </w:r>
          </w:p>
        </w:tc>
      </w:tr>
      <w:tr>
        <w:tc>
          <w:tcPr>
            <w:tcW w:w="233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Amortization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Amortization</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Amount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Acquired intangible assets:</w:t>
            </w:r>
          </w:p>
        </w:tc>
        <w:tc>
          <w:tcPr>
            <w:tcW w:w="60" w:type="dxa"/>
            <w:tcBorders/>
            <w:shd w:fill="CCEEFF" w:val="clear"/>
            <w:vAlign w:val="center"/>
          </w:tcPr>
          <w:p>
            <w:pPr>
              <w:pStyle w:val="TableContents"/>
              <w:bidi w:val="0"/>
              <w:spacing w:before="0" w:after="283"/>
              <w:jc w:val="left"/>
            </w:pPr>
            <w:r>
              <w:t> </w:t>
            </w:r>
          </w:p>
        </w:tc>
        <w:tc>
          <w:tcPr>
            <w:tcW w:w="111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63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9" w:type="dxa"/>
            <w:tcBorders/>
            <w:shd w:fill="CCEEFF" w:val="clear"/>
            <w:vAlign w:val="center"/>
          </w:tcPr>
          <w:p>
            <w:pPr>
              <w:pStyle w:val="TableContents"/>
              <w:bidi w:val="0"/>
              <w:spacing w:before="0" w:after="283"/>
              <w:jc w:val="left"/>
            </w:pPr>
            <w:r>
              <w:t> </w:t>
            </w:r>
          </w:p>
        </w:tc>
        <w:tc>
          <w:tcPr>
            <w:tcW w:w="93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63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636"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9" w:type="dxa"/>
            <w:tcBorders/>
            <w:shd w:fill="CCEEFF" w:val="clear"/>
            <w:vAlign w:val="center"/>
          </w:tcPr>
          <w:p>
            <w:pPr>
              <w:pStyle w:val="TableContents"/>
              <w:bidi w:val="0"/>
              <w:spacing w:before="0" w:after="283"/>
              <w:jc w:val="left"/>
            </w:pPr>
            <w:r>
              <w:t> </w:t>
            </w:r>
          </w:p>
        </w:tc>
        <w:tc>
          <w:tcPr>
            <w:tcW w:w="93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636"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r>
      <w:tr>
        <w:tc>
          <w:tcPr>
            <w:tcW w:w="23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1 - 13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26,433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38,404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28,370</w:t>
            </w:r>
          </w:p>
        </w:tc>
        <w:tc>
          <w:tcPr>
            <w:tcW w:w="75" w:type="dxa"/>
            <w:tcBorders/>
            <w:shd w:fill="FFFFFF" w:val="clear"/>
            <w:vAlign w:val="center"/>
          </w:tcPr>
          <w:p>
            <w:pPr>
              <w:pStyle w:val="TableContents"/>
              <w:bidi w:val="0"/>
              <w:spacing w:before="0" w:after="283"/>
              <w:jc w:val="left"/>
            </w:pPr>
            <w:r>
              <w:t> </w:t>
            </w:r>
          </w:p>
        </w:tc>
      </w:tr>
      <w:tr>
        <w:tc>
          <w:tcPr>
            <w:tcW w:w="23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4 - 9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46,182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9" w:type="dxa"/>
            <w:tcBorders/>
            <w:shd w:fill="CCEEFF" w:val="clear"/>
            <w:vAlign w:val="center"/>
          </w:tcPr>
          <w:p>
            <w:pPr>
              <w:pStyle w:val="TableContents"/>
              <w:bidi w:val="0"/>
              <w:spacing w:before="0" w:after="283"/>
              <w:ind w:left="0" w:right="0" w:hanging="0"/>
              <w:jc w:val="left"/>
            </w:pPr>
            <w: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46,215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9" w:type="dxa"/>
            <w:tcBorders/>
            <w:shd w:fill="CCEEFF" w:val="clear"/>
            <w:vAlign w:val="center"/>
          </w:tcPr>
          <w:p>
            <w:pPr>
              <w:pStyle w:val="TableContents"/>
              <w:bidi w:val="0"/>
              <w:spacing w:before="0" w:after="283"/>
              <w:ind w:left="0" w:right="0" w:hanging="0"/>
              <w:jc w:val="left"/>
            </w:pPr>
            <w: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17,749</w:t>
            </w:r>
          </w:p>
        </w:tc>
        <w:tc>
          <w:tcPr>
            <w:tcW w:w="75" w:type="dxa"/>
            <w:tcBorders/>
            <w:shd w:fill="CCEEFF" w:val="clear"/>
            <w:vAlign w:val="center"/>
          </w:tcPr>
          <w:p>
            <w:pPr>
              <w:pStyle w:val="TableContents"/>
              <w:bidi w:val="0"/>
              <w:spacing w:before="0" w:after="283"/>
              <w:jc w:val="left"/>
            </w:pPr>
            <w:r>
              <w:t> </w:t>
            </w:r>
          </w:p>
        </w:tc>
      </w:tr>
      <w:tr>
        <w:tc>
          <w:tcPr>
            <w:tcW w:w="23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Tradename and trademarks</w:t>
            </w:r>
          </w:p>
        </w:tc>
        <w:tc>
          <w:tcPr>
            <w:tcW w:w="60"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2 - 10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9" w:type="dxa"/>
            <w:tcBorders/>
            <w:shd w:fill="FFFFFF" w:val="clear"/>
            <w:vAlign w:val="center"/>
          </w:tcPr>
          <w:p>
            <w:pPr>
              <w:pStyle w:val="TableContents"/>
              <w:bidi w:val="0"/>
              <w:spacing w:before="0" w:after="283"/>
              <w:ind w:left="0" w:right="0" w:hanging="0"/>
              <w:jc w:val="left"/>
            </w:pPr>
            <w: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9" w:type="dxa"/>
            <w:tcBorders/>
            <w:shd w:fill="FFFFFF" w:val="clear"/>
            <w:vAlign w:val="center"/>
          </w:tcPr>
          <w:p>
            <w:pPr>
              <w:pStyle w:val="TableContents"/>
              <w:bidi w:val="0"/>
              <w:spacing w:before="0" w:after="283"/>
              <w:ind w:left="0" w:right="0" w:hanging="0"/>
              <w:jc w:val="left"/>
            </w:pPr>
            <w: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5,931</w:t>
            </w:r>
          </w:p>
        </w:tc>
        <w:tc>
          <w:tcPr>
            <w:tcW w:w="75" w:type="dxa"/>
            <w:tcBorders/>
            <w:shd w:fill="FFFFFF" w:val="clear"/>
            <w:vAlign w:val="center"/>
          </w:tcPr>
          <w:p>
            <w:pPr>
              <w:pStyle w:val="TableContents"/>
              <w:bidi w:val="0"/>
              <w:spacing w:before="0" w:after="283"/>
              <w:jc w:val="left"/>
            </w:pPr>
            <w:r>
              <w:t> </w:t>
            </w:r>
          </w:p>
        </w:tc>
      </w:tr>
      <w:tr>
        <w:tc>
          <w:tcPr>
            <w:tcW w:w="23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w:t>
            </w:r>
          </w:p>
        </w:tc>
        <w:tc>
          <w:tcPr>
            <w:tcW w:w="60" w:type="dxa"/>
            <w:tcBorders/>
            <w:shd w:fill="CCEEFF" w:val="clear"/>
            <w:vAlign w:val="center"/>
          </w:tcPr>
          <w:p>
            <w:pPr>
              <w:pStyle w:val="TableContents"/>
              <w:bidi w:val="0"/>
              <w:spacing w:before="0" w:after="283"/>
              <w:ind w:left="0" w:right="0" w:hanging="0"/>
              <w:jc w:val="left"/>
            </w:pPr>
            <w:r>
              <w:t> </w:t>
            </w:r>
          </w:p>
        </w:tc>
        <w:tc>
          <w:tcPr>
            <w:tcW w:w="111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6 - 10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9" w:type="dxa"/>
            <w:tcBorders/>
            <w:shd w:fill="CCEEFF" w:val="clear"/>
            <w:vAlign w:val="center"/>
          </w:tcPr>
          <w:p>
            <w:pPr>
              <w:pStyle w:val="TableContents"/>
              <w:bidi w:val="0"/>
              <w:spacing w:before="0" w:after="283"/>
              <w:ind w:left="0" w:right="0" w:hanging="0"/>
              <w:jc w:val="left"/>
            </w:pPr>
            <w: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9" w:type="dxa"/>
            <w:tcBorders/>
            <w:shd w:fill="CCEEFF" w:val="clear"/>
            <w:vAlign w:val="center"/>
          </w:tcPr>
          <w:p>
            <w:pPr>
              <w:pStyle w:val="TableContents"/>
              <w:bidi w:val="0"/>
              <w:spacing w:before="0" w:after="283"/>
              <w:ind w:left="0" w:right="0" w:hanging="0"/>
              <w:jc w:val="left"/>
            </w:pPr>
            <w: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75" w:type="dxa"/>
            <w:tcBorders/>
            <w:shd w:fill="CCEEFF" w:val="clear"/>
            <w:vAlign w:val="center"/>
          </w:tcPr>
          <w:p>
            <w:pPr>
              <w:pStyle w:val="TableContents"/>
              <w:bidi w:val="0"/>
              <w:spacing w:before="0" w:after="283"/>
              <w:jc w:val="left"/>
            </w:pPr>
            <w:r>
              <w:t> </w:t>
            </w:r>
          </w:p>
        </w:tc>
      </w:tr>
      <w:tr>
        <w:tc>
          <w:tcPr>
            <w:tcW w:w="23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Noncompetition agreements</w:t>
            </w:r>
          </w:p>
        </w:tc>
        <w:tc>
          <w:tcPr>
            <w:tcW w:w="60" w:type="dxa"/>
            <w:tcBorders/>
            <w:shd w:fill="FFFFFF" w:val="clear"/>
            <w:vAlign w:val="center"/>
          </w:tcPr>
          <w:p>
            <w:pPr>
              <w:pStyle w:val="TableContents"/>
              <w:bidi w:val="0"/>
              <w:spacing w:before="0" w:after="283"/>
              <w:ind w:left="0" w:right="0" w:hanging="0"/>
              <w:jc w:val="left"/>
            </w:pPr>
            <w:r>
              <w:t> </w:t>
            </w:r>
          </w:p>
        </w:tc>
        <w:tc>
          <w:tcPr>
            <w:tcW w:w="111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pPr>
            <w:r>
              <w:t> </w:t>
            </w:r>
          </w:p>
        </w:tc>
        <w:tc>
          <w:tcPr>
            <w:tcW w:w="1115"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95,728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(49,668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46,060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95,765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(43,571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52,194</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weighted average amortization period for acquired identifiable intangible assets was 8.2 years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The amortization expense related to intangible assets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97"/>
        <w:gridCol w:w="60"/>
        <w:gridCol w:w="224"/>
        <w:gridCol w:w="870"/>
        <w:gridCol w:w="107"/>
        <w:gridCol w:w="107"/>
        <w:gridCol w:w="224"/>
        <w:gridCol w:w="870"/>
        <w:gridCol w:w="60"/>
        <w:gridCol w:w="60"/>
        <w:gridCol w:w="218"/>
        <w:gridCol w:w="849"/>
        <w:gridCol w:w="105"/>
        <w:gridCol w:w="105"/>
        <w:gridCol w:w="218"/>
        <w:gridCol w:w="849"/>
        <w:gridCol w:w="82"/>
      </w:tblGrid>
      <w:tr>
        <w:tc>
          <w:tcPr>
            <w:tcW w:w="519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4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4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197"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07"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07" w:type="dxa"/>
            <w:tcBorders/>
            <w:shd w:fill="FFFFFF" w:val="clear"/>
            <w:vAlign w:val="center"/>
          </w:tcPr>
          <w:p>
            <w:pPr>
              <w:pStyle w:val="TableContents"/>
              <w:bidi w:val="0"/>
              <w:spacing w:before="0" w:after="283"/>
              <w:ind w:left="0" w:right="0" w:hanging="0"/>
              <w:jc w:val="left"/>
            </w:pPr>
            <w:r>
              <w:t> </w:t>
            </w:r>
          </w:p>
        </w:tc>
        <w:tc>
          <w:tcPr>
            <w:tcW w:w="10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05" w:type="dxa"/>
            <w:tcBorders/>
            <w:shd w:fill="FFFFFF" w:val="clear"/>
            <w:vAlign w:val="center"/>
          </w:tcPr>
          <w:p>
            <w:pPr>
              <w:pStyle w:val="TableContents"/>
              <w:bidi w:val="0"/>
              <w:spacing w:before="0" w:after="283"/>
              <w:ind w:left="0" w:right="0" w:hanging="0"/>
              <w:jc w:val="left"/>
            </w:pPr>
            <w:r>
              <w:t> </w:t>
            </w:r>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1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technology (included in costs of revenues)</w:t>
            </w:r>
          </w:p>
        </w:tc>
        <w:tc>
          <w:tcPr>
            <w:tcW w:w="60" w:type="dxa"/>
            <w:tcBorders/>
            <w:shd w:fill="CCEEFF" w:val="clear"/>
            <w:vAlign w:val="center"/>
          </w:tcPr>
          <w:p>
            <w:pPr>
              <w:pStyle w:val="TableContents"/>
              <w:bidi w:val="0"/>
              <w:spacing w:before="0" w:after="283"/>
              <w:ind w:left="0" w:right="0" w:hanging="0"/>
              <w:jc w:val="left"/>
            </w:pPr>
            <w:r>
              <w:t> </w:t>
            </w:r>
          </w:p>
        </w:tc>
        <w:tc>
          <w:tcPr>
            <w:tcW w:w="22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w:t>
            </w:r>
          </w:p>
        </w:tc>
        <w:tc>
          <w:tcPr>
            <w:tcW w:w="107" w:type="dxa"/>
            <w:tcBorders/>
            <w:shd w:fill="CCEEFF" w:val="cle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ind w:left="0" w:right="0" w:hanging="0"/>
              <w:jc w:val="left"/>
            </w:pPr>
            <w:r>
              <w:t> </w:t>
            </w:r>
          </w:p>
        </w:tc>
        <w:tc>
          <w:tcPr>
            <w:tcW w:w="22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2,954</w:t>
            </w:r>
          </w:p>
        </w:tc>
        <w:tc>
          <w:tcPr>
            <w:tcW w:w="105" w:type="dxa"/>
            <w:tcBorders/>
            <w:shd w:fill="CCEEFF" w:val="clear"/>
            <w:vAlign w:val="center"/>
          </w:tcPr>
          <w:p>
            <w:pPr>
              <w:pStyle w:val="TableContents"/>
              <w:bidi w:val="0"/>
              <w:spacing w:before="0" w:after="283"/>
              <w:jc w:val="left"/>
            </w:pPr>
            <w:r>
              <w:t> </w:t>
            </w:r>
          </w:p>
        </w:tc>
        <w:tc>
          <w:tcPr>
            <w:tcW w:w="105" w:type="dxa"/>
            <w:tcBorders/>
            <w:shd w:fill="CCEEFF" w:val="clear"/>
            <w:vAlign w:val="center"/>
          </w:tcPr>
          <w:p>
            <w:pPr>
              <w:pStyle w:val="TableContents"/>
              <w:bidi w:val="0"/>
              <w:spacing w:before="0" w:after="283"/>
              <w:ind w:left="0" w:right="0" w:hanging="0"/>
              <w:jc w:val="left"/>
            </w:pPr>
            <w: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2,674</w:t>
            </w:r>
          </w:p>
        </w:tc>
        <w:tc>
          <w:tcPr>
            <w:tcW w:w="82" w:type="dxa"/>
            <w:tcBorders/>
            <w:shd w:fill="CCEEFF" w:val="clear"/>
            <w:vAlign w:val="center"/>
          </w:tcPr>
          <w:p>
            <w:pPr>
              <w:pStyle w:val="TableContents"/>
              <w:bidi w:val="0"/>
              <w:spacing w:before="0" w:after="283"/>
              <w:jc w:val="left"/>
            </w:pPr>
            <w:r>
              <w:t> </w:t>
            </w:r>
          </w:p>
        </w:tc>
      </w:tr>
      <w:tr>
        <w:tc>
          <w:tcPr>
            <w:tcW w:w="51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 assets (presented separately under costs and expenses)</w:t>
            </w:r>
          </w:p>
        </w:tc>
        <w:tc>
          <w:tcPr>
            <w:tcW w:w="60" w:type="dxa"/>
            <w:tcBorders/>
            <w:shd w:fill="FFFFFF" w:val="clear"/>
            <w:vAlign w:val="center"/>
          </w:tcPr>
          <w:p>
            <w:pPr>
              <w:pStyle w:val="TableContents"/>
              <w:bidi w:val="0"/>
              <w:spacing w:before="0" w:after="283"/>
              <w:jc w:val="left"/>
            </w:pPr>
            <w: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w:t>
            </w:r>
          </w:p>
        </w:tc>
        <w:tc>
          <w:tcPr>
            <w:tcW w:w="107"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07" w:type="dxa"/>
            <w:tcBorders/>
            <w:shd w:fill="FFFFFF" w:val="clear"/>
            <w:vAlign w:val="center"/>
          </w:tcPr>
          <w:p>
            <w:pPr>
              <w:pStyle w:val="TableContents"/>
              <w:bidi w:val="0"/>
              <w:spacing w:before="0" w:after="283"/>
              <w:jc w:val="left"/>
            </w:pPr>
            <w: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3,157</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05" w:type="dxa"/>
            <w:tcBorders/>
            <w:shd w:fill="FFFFFF" w:val="clear"/>
            <w:vAlign w:val="center"/>
          </w:tcPr>
          <w:p>
            <w:pPr>
              <w:pStyle w:val="TableContents"/>
              <w:bidi w:val="0"/>
              <w:spacing w:before="0" w:after="283"/>
              <w:jc w:val="left"/>
            </w:pPr>
            <w: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1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amortization expense</w:t>
            </w:r>
          </w:p>
        </w:tc>
        <w:tc>
          <w:tcPr>
            <w:tcW w:w="60" w:type="dxa"/>
            <w:tcBorders/>
            <w:shd w:fill="CCEEFF" w:val="clear"/>
            <w:vAlign w:val="center"/>
          </w:tcPr>
          <w:p>
            <w:pPr>
              <w:pStyle w:val="TableContents"/>
              <w:bidi w:val="0"/>
              <w:spacing w:before="0" w:after="283"/>
              <w:ind w:left="0" w:right="0" w:hanging="0"/>
              <w:jc w:val="left"/>
            </w:pPr>
            <w:r>
              <w:t> </w:t>
            </w:r>
          </w:p>
        </w:tc>
        <w:tc>
          <w:tcPr>
            <w:tcW w:w="2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1,998</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07" w:type="dxa"/>
            <w:tcBorders/>
            <w:shd w:fill="CCEEFF" w:val="clear"/>
            <w:vAlign w:val="center"/>
          </w:tcPr>
          <w:p>
            <w:pPr>
              <w:pStyle w:val="TableContents"/>
              <w:bidi w:val="0"/>
              <w:spacing w:before="0" w:after="283"/>
              <w:ind w:left="0" w:right="0" w:hanging="0"/>
              <w:jc w:val="left"/>
            </w:pPr>
            <w:r>
              <w:t> </w:t>
            </w:r>
          </w:p>
        </w:tc>
        <w:tc>
          <w:tcPr>
            <w:tcW w:w="2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6,111</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05" w:type="dxa"/>
            <w:tcBorders/>
            <w:shd w:fill="CCEEFF" w:val="clear"/>
            <w:vAlign w:val="center"/>
          </w:tcPr>
          <w:p>
            <w:pPr>
              <w:pStyle w:val="TableContents"/>
              <w:bidi w:val="0"/>
              <w:spacing w:before="0" w:after="283"/>
              <w:ind w:left="0" w:right="0" w:hanging="0"/>
              <w:jc w:val="left"/>
            </w:pPr>
            <w: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5,189</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estimated future amortization of acquired identifiable intangible assets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630" w:type="dxa"/>
        <w:jc w:val="left"/>
        <w:tblInd w:w="0" w:type="dxa"/>
        <w:tblLayout w:type="fixed"/>
        <w:tblCellMar>
          <w:top w:w="0" w:type="dxa"/>
          <w:left w:w="0" w:type="dxa"/>
          <w:bottom w:w="0" w:type="dxa"/>
          <w:right w:w="0" w:type="dxa"/>
        </w:tblCellMar>
      </w:tblPr>
      <w:tblGrid>
        <w:gridCol w:w="2780"/>
        <w:gridCol w:w="60"/>
        <w:gridCol w:w="125"/>
        <w:gridCol w:w="590"/>
        <w:gridCol w:w="75"/>
      </w:tblGrid>
      <w:t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 December 31,</w:t>
            </w:r>
          </w:p>
        </w:tc>
        <w:tc>
          <w:tcPr>
            <w:tcW w:w="60" w:type="dxa"/>
            <w:tcBorders/>
            <w:shd w:fill="FFFFFF" w:val="clear"/>
            <w:vAlign w:val="center"/>
          </w:tcPr>
          <w:p>
            <w:pPr>
              <w:pStyle w:val="TableContents"/>
              <w:bidi w:val="0"/>
              <w:spacing w:before="0" w:after="283"/>
              <w:ind w:left="0" w:right="0" w:hanging="0"/>
              <w:jc w:val="left"/>
            </w:pPr>
            <w: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Amount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(remaining three months)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1,985</w:t>
            </w:r>
          </w:p>
        </w:tc>
        <w:tc>
          <w:tcPr>
            <w:tcW w:w="75" w:type="dxa"/>
            <w:tcBorders/>
            <w:shd w:fill="CCEEFF" w:val="clear"/>
            <w:vAlign w:val="center"/>
          </w:tcPr>
          <w:p>
            <w:pPr>
              <w:pStyle w:val="TableContents"/>
              <w:bidi w:val="0"/>
              <w:spacing w:before="0" w:after="283"/>
              <w:jc w:val="left"/>
            </w:pPr>
            <w:r>
              <w:t> </w:t>
            </w:r>
          </w:p>
        </w:tc>
      </w:tr>
      <w:t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7,940</w:t>
            </w:r>
          </w:p>
        </w:tc>
        <w:tc>
          <w:tcPr>
            <w:tcW w:w="75" w:type="dxa"/>
            <w:tcBorders/>
            <w:shd w:fill="FFFFFF" w:val="clear"/>
            <w:vAlign w:val="center"/>
          </w:tcPr>
          <w:p>
            <w:pPr>
              <w:pStyle w:val="TableContents"/>
              <w:bidi w:val="0"/>
              <w:spacing w:before="0" w:after="283"/>
              <w:jc w:val="left"/>
            </w:pPr>
            <w:r>
              <w:t> </w:t>
            </w:r>
          </w:p>
        </w:tc>
      </w:tr>
      <w:t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7,635</w:t>
            </w:r>
          </w:p>
        </w:tc>
        <w:tc>
          <w:tcPr>
            <w:tcW w:w="75" w:type="dxa"/>
            <w:tcBorders/>
            <w:shd w:fill="CCEEFF" w:val="clear"/>
            <w:vAlign w:val="center"/>
          </w:tcPr>
          <w:p>
            <w:pPr>
              <w:pStyle w:val="TableContents"/>
              <w:bidi w:val="0"/>
              <w:spacing w:before="0" w:after="283"/>
              <w:jc w:val="left"/>
            </w:pPr>
            <w:r>
              <w:t> </w:t>
            </w:r>
          </w:p>
        </w:tc>
      </w:tr>
      <w:t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5,950</w:t>
            </w:r>
          </w:p>
        </w:tc>
        <w:tc>
          <w:tcPr>
            <w:tcW w:w="75" w:type="dxa"/>
            <w:tcBorders/>
            <w:shd w:fill="FFFFFF" w:val="clear"/>
            <w:vAlign w:val="center"/>
          </w:tcPr>
          <w:p>
            <w:pPr>
              <w:pStyle w:val="TableContents"/>
              <w:bidi w:val="0"/>
              <w:spacing w:before="0" w:after="283"/>
              <w:jc w:val="left"/>
            </w:pPr>
            <w:r>
              <w:t> </w:t>
            </w:r>
          </w:p>
        </w:tc>
      </w:tr>
      <w:t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4,507</w:t>
            </w:r>
          </w:p>
        </w:tc>
        <w:tc>
          <w:tcPr>
            <w:tcW w:w="75" w:type="dxa"/>
            <w:tcBorders/>
            <w:shd w:fill="CCEEFF" w:val="clear"/>
            <w:vAlign w:val="center"/>
          </w:tcPr>
          <w:p>
            <w:pPr>
              <w:pStyle w:val="TableContents"/>
              <w:bidi w:val="0"/>
              <w:spacing w:before="0" w:after="283"/>
              <w:jc w:val="left"/>
            </w:pPr>
            <w:r>
              <w:t> </w:t>
            </w:r>
          </w:p>
        </w:tc>
      </w:tr>
      <w:t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 and thereafter</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18,043</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future amortization expense</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46,060</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There was no impairment charge for goodwill and intangible assets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Non-current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Other non-current assets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538" w:type="dxa"/>
        <w:jc w:val="left"/>
        <w:tblInd w:w="0" w:type="dxa"/>
        <w:tblLayout w:type="fixed"/>
        <w:tblCellMar>
          <w:top w:w="0" w:type="dxa"/>
          <w:left w:w="0" w:type="dxa"/>
          <w:bottom w:w="0" w:type="dxa"/>
          <w:right w:w="0" w:type="dxa"/>
        </w:tblCellMar>
      </w:tblPr>
      <w:tblGrid>
        <w:gridCol w:w="3950"/>
        <w:gridCol w:w="60"/>
        <w:gridCol w:w="207"/>
        <w:gridCol w:w="982"/>
        <w:gridCol w:w="60"/>
        <w:gridCol w:w="60"/>
        <w:gridCol w:w="199"/>
        <w:gridCol w:w="945"/>
        <w:gridCol w:w="75"/>
      </w:tblGrid>
      <w:tr>
        <w:tc>
          <w:tcPr>
            <w:tcW w:w="39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w:t>
            </w:r>
          </w:p>
        </w:tc>
        <w:tc>
          <w:tcPr>
            <w:tcW w:w="75" w:type="dxa"/>
            <w:tcBorders/>
            <w:shd w:fill="FFFFFF" w:val="clear"/>
            <w:vAlign w:val="center"/>
          </w:tcPr>
          <w:p>
            <w:pPr>
              <w:pStyle w:val="TableContents"/>
              <w:bidi w:val="0"/>
              <w:spacing w:before="0" w:after="283"/>
              <w:jc w:val="left"/>
            </w:pPr>
            <w:r>
              <w:t> </w:t>
            </w:r>
          </w:p>
        </w:tc>
      </w:tr>
      <w:tr>
        <w:tc>
          <w:tcPr>
            <w:tcW w:w="395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Unbilled accounts receivable (1)</w:t>
            </w:r>
          </w:p>
        </w:tc>
        <w:tc>
          <w:tcPr>
            <w:tcW w:w="60" w:type="dxa"/>
            <w:tcBorders/>
            <w:shd w:fill="CCEEFF" w:val="clear"/>
            <w:vAlign w:val="center"/>
          </w:tcPr>
          <w:p>
            <w:pPr>
              <w:pStyle w:val="TableContents"/>
              <w:bidi w:val="0"/>
              <w:spacing w:before="0" w:after="283"/>
              <w:ind w:left="0" w:right="0" w:hanging="0"/>
              <w:jc w:val="left"/>
            </w:pPr>
            <w: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8,719</w:t>
            </w:r>
          </w:p>
        </w:tc>
        <w:tc>
          <w:tcPr>
            <w:tcW w:w="75" w:type="dxa"/>
            <w:tcBorders/>
            <w:shd w:fill="CCEEFF" w:val="clear"/>
            <w:vAlign w:val="center"/>
          </w:tcPr>
          <w:p>
            <w:pPr>
              <w:pStyle w:val="TableContents"/>
              <w:bidi w:val="0"/>
              <w:spacing w:before="0" w:after="283"/>
              <w:jc w:val="left"/>
            </w:pPr>
            <w:r>
              <w:t> </w:t>
            </w:r>
          </w:p>
        </w:tc>
      </w:tr>
      <w:t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capitalized to obtain revenue contracts (2)</w:t>
            </w:r>
          </w:p>
        </w:tc>
        <w:tc>
          <w:tcPr>
            <w:tcW w:w="60" w:type="dxa"/>
            <w:tcBorders/>
            <w:shd w:fill="FFFFFF" w:val="clear"/>
            <w:vAlign w:val="center"/>
          </w:tcPr>
          <w:p>
            <w:pPr>
              <w:pStyle w:val="TableContents"/>
              <w:bidi w:val="0"/>
              <w:spacing w:before="0" w:after="283"/>
              <w:jc w:val="left"/>
            </w:pPr>
            <w:r>
              <w:t> </w:t>
            </w:r>
          </w:p>
        </w:tc>
        <w:tc>
          <w:tcPr>
            <w:tcW w:w="207" w:type="dxa"/>
            <w:tcBorders/>
            <w:shd w:fill="FFFFFF" w:val="clear"/>
            <w:vAlign w:val="center"/>
          </w:tcPr>
          <w:p>
            <w:pPr>
              <w:pStyle w:val="TableContents"/>
              <w:bidi w:val="0"/>
              <w:spacing w:before="0" w:after="283"/>
              <w:ind w:left="0" w:right="0" w:hanging="0"/>
              <w:jc w:val="left"/>
            </w:pPr>
            <w: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9" w:type="dxa"/>
            <w:tcBorders/>
            <w:shd w:fill="FFFFFF" w:val="clear"/>
            <w:vAlign w:val="center"/>
          </w:tcPr>
          <w:p>
            <w:pPr>
              <w:pStyle w:val="TableContents"/>
              <w:bidi w:val="0"/>
              <w:spacing w:before="0" w:after="283"/>
              <w:ind w:left="0" w:right="0" w:hanging="0"/>
              <w:jc w:val="left"/>
            </w:pPr>
            <w: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3,395</w:t>
            </w:r>
          </w:p>
        </w:tc>
        <w:tc>
          <w:tcPr>
            <w:tcW w:w="75" w:type="dxa"/>
            <w:tcBorders/>
            <w:shd w:fill="FFFFFF" w:val="clear"/>
            <w:vAlign w:val="center"/>
          </w:tcPr>
          <w:p>
            <w:pPr>
              <w:pStyle w:val="TableContents"/>
              <w:bidi w:val="0"/>
              <w:spacing w:before="0" w:after="283"/>
              <w:jc w:val="left"/>
            </w:pPr>
            <w:r>
              <w:t> </w:t>
            </w:r>
          </w:p>
        </w:tc>
      </w:tr>
      <w:t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investments in sales-type leases (3)</w:t>
            </w:r>
          </w:p>
        </w:tc>
        <w:tc>
          <w:tcPr>
            <w:tcW w:w="6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ind w:left="0" w:right="0" w:hanging="0"/>
              <w:jc w:val="left"/>
            </w:pPr>
            <w: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9" w:type="dxa"/>
            <w:tcBorders/>
            <w:shd w:fill="CCEEFF" w:val="clear"/>
            <w:vAlign w:val="center"/>
          </w:tcPr>
          <w:p>
            <w:pPr>
              <w:pStyle w:val="TableContents"/>
              <w:bidi w:val="0"/>
              <w:spacing w:before="0" w:after="283"/>
              <w:ind w:left="0" w:right="0" w:hanging="0"/>
              <w:jc w:val="left"/>
            </w:pPr>
            <w: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7,588</w:t>
            </w:r>
          </w:p>
        </w:tc>
        <w:tc>
          <w:tcPr>
            <w:tcW w:w="75" w:type="dxa"/>
            <w:tcBorders/>
            <w:shd w:fill="CCEEFF" w:val="clear"/>
            <w:vAlign w:val="center"/>
          </w:tcPr>
          <w:p>
            <w:pPr>
              <w:pStyle w:val="TableContents"/>
              <w:bidi w:val="0"/>
              <w:spacing w:before="0" w:after="283"/>
              <w:jc w:val="left"/>
            </w:pPr>
            <w:r>
              <w:t> </w:t>
            </w:r>
          </w:p>
        </w:tc>
      </w:tr>
      <w:t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pPr>
            <w: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non-current assets</w:t>
            </w:r>
          </w:p>
        </w:tc>
        <w:tc>
          <w:tcPr>
            <w:tcW w:w="60" w:type="dxa"/>
            <w:tcBorders/>
            <w:shd w:fill="CCEEFF" w:val="clear"/>
            <w:vAlign w:val="center"/>
          </w:tcPr>
          <w:p>
            <w:pPr>
              <w:pStyle w:val="TableContents"/>
              <w:bidi w:val="0"/>
              <w:spacing w:before="0" w:after="283"/>
              <w:ind w:left="0" w:right="0" w:hanging="0"/>
              <w:jc w:val="left"/>
            </w:pPr>
            <w: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21,149</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HorizontalLine"/>
        <w:pBdr>
          <w:bottom w:val="double" w:sz="2" w:space="0" w:color="808080"/>
        </w:pBdr>
        <w:bidi w:val="0"/>
        <w:spacing w:before="0" w:after="283"/>
        <w:jc w:val="left"/>
      </w:pPr>
      <w:r/>
    </w:p>
    <w:tbl>
      <w:tblPr>
        <w:tblW w:w="10205" w:type="dxa"/>
        <w:jc w:val="left"/>
        <w:tblInd w:w="0" w:type="dxa"/>
        <w:tblLayout w:type="fixed"/>
        <w:tblCellMar>
          <w:top w:w="0" w:type="dxa"/>
          <w:left w:w="0" w:type="dxa"/>
          <w:bottom w:w="0" w:type="dxa"/>
          <w:right w:w="0" w:type="dxa"/>
        </w:tblCellMar>
      </w:tblPr>
      <w:tblGrid>
        <w:gridCol w:w="60"/>
        <w:gridCol w:w="214"/>
        <w:gridCol w:w="9931"/>
      </w:tblGrid>
      <w:tr>
        <w:tc>
          <w:tcPr>
            <w:tcW w:w="60" w:type="dxa"/>
            <w:tcBorders/>
            <w:vAlign w:val="center"/>
          </w:tcPr>
          <w:p>
            <w:pPr>
              <w:pStyle w:val="TableContents"/>
              <w:bidi w:val="0"/>
              <w:spacing w:before="0" w:after="283"/>
              <w:jc w:val="left"/>
            </w:pPr>
            <w:r>
              <w:t> </w:t>
            </w:r>
          </w:p>
        </w:tc>
        <w:tc>
          <w:tcPr>
            <w:tcW w:w="214" w:type="dxa"/>
            <w:tcBorders/>
            <w:vAlign w:val="center"/>
          </w:tcPr>
          <w:p>
            <w:pPr>
              <w:pStyle w:val="TableContents"/>
              <w:bidi w:val="0"/>
              <w:spacing w:before="0" w:after="0"/>
              <w:ind w:left="0" w:right="0" w:hanging="0"/>
              <w:jc w:val="left"/>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31" w:type="dxa"/>
            <w:tcBorders/>
            <w:vAlign w:val="center"/>
          </w:tcPr>
          <w:p>
            <w:pPr>
              <w:pStyle w:val="TableContents"/>
              <w:bidi w:val="0"/>
              <w:spacing w:before="0" w:after="283"/>
              <w:jc w:val="both"/>
            </w:pPr>
            <w:r>
              <w:t xml:space="preserve">See Note </w:t>
            </w:r>
            <w:r>
              <w:rPr>
                <w:rStyle w:val="Emphasis"/>
              </w:rPr>
              <w:t>3,</w:t>
            </w:r>
            <w:r>
              <w:t xml:space="preserve"> </w:t>
            </w:r>
            <w:r>
              <w:rPr>
                <w:i/>
              </w:rPr>
              <w:t xml:space="preserve">Balance Sheet Components </w:t>
            </w:r>
            <w:r>
              <w:t>– </w:t>
            </w:r>
            <w:r>
              <w:rPr>
                <w:i/>
              </w:rPr>
              <w:t>Accounts Receivable</w:t>
            </w:r>
            <w:r>
              <w:t>.</w:t>
            </w:r>
          </w:p>
        </w:tc>
      </w:tr>
      <w:tr>
        <w:tc>
          <w:tcPr>
            <w:tcW w:w="60" w:type="dxa"/>
            <w:tcBorders/>
            <w:vAlign w:val="center"/>
          </w:tcPr>
          <w:p>
            <w:pPr>
              <w:pStyle w:val="TableContents"/>
              <w:bidi w:val="0"/>
              <w:spacing w:before="0" w:after="283"/>
              <w:jc w:val="left"/>
            </w:pPr>
            <w:r>
              <w:t> </w:t>
            </w:r>
          </w:p>
        </w:tc>
        <w:tc>
          <w:tcPr>
            <w:tcW w:w="214" w:type="dxa"/>
            <w:tcBorders/>
            <w:vAlign w:val="center"/>
          </w:tcPr>
          <w:p>
            <w:pPr>
              <w:pStyle w:val="TableContents"/>
              <w:bidi w:val="0"/>
              <w:spacing w:before="0" w:after="283"/>
              <w:jc w:val="left"/>
            </w:pPr>
            <w:r>
              <w:t>(</w:t>
            </w:r>
            <w:r>
              <w:rPr>
                <w:rStyle w:val="Emphasis"/>
              </w:rPr>
              <w:t>2</w:t>
            </w:r>
            <w:r>
              <w:t>)</w:t>
            </w:r>
          </w:p>
        </w:tc>
        <w:tc>
          <w:tcPr>
            <w:tcW w:w="9931" w:type="dxa"/>
            <w:tcBorders/>
            <w:vAlign w:val="center"/>
          </w:tcPr>
          <w:p>
            <w:pPr>
              <w:pStyle w:val="TableContents"/>
              <w:bidi w:val="0"/>
              <w:spacing w:before="0" w:after="283"/>
              <w:jc w:val="both"/>
            </w:pPr>
            <w:r>
              <w:t xml:space="preserve">See “Costs to Obtain or Fulfill a Contract” section under Note </w:t>
            </w:r>
            <w:r>
              <w:rPr>
                <w:rStyle w:val="Emphasis"/>
              </w:rPr>
              <w:t>2,</w:t>
            </w:r>
            <w:r>
              <w:t xml:space="preserve"> </w:t>
            </w:r>
            <w:r>
              <w:rPr>
                <w:i/>
              </w:rPr>
              <w:t>Revenue from Contracts with Customers</w:t>
            </w:r>
            <w:r>
              <w:t>. </w:t>
            </w:r>
          </w:p>
        </w:tc>
      </w:tr>
      <w:tr>
        <w:tc>
          <w:tcPr>
            <w:tcW w:w="60" w:type="dxa"/>
            <w:tcBorders/>
            <w:vAlign w:val="center"/>
          </w:tcPr>
          <w:p>
            <w:pPr>
              <w:pStyle w:val="TableContents"/>
              <w:bidi w:val="0"/>
              <w:spacing w:before="0" w:after="283"/>
              <w:jc w:val="left"/>
            </w:pPr>
            <w:r>
              <w:t> </w:t>
            </w:r>
          </w:p>
        </w:tc>
        <w:tc>
          <w:tcPr>
            <w:tcW w:w="214" w:type="dxa"/>
            <w:tcBorders/>
            <w:vAlign w:val="center"/>
          </w:tcPr>
          <w:p>
            <w:pPr>
              <w:pStyle w:val="TableContents"/>
              <w:bidi w:val="0"/>
              <w:spacing w:before="0" w:after="283"/>
              <w:jc w:val="left"/>
            </w:pPr>
            <w:r>
              <w:t>(</w:t>
            </w:r>
            <w:r>
              <w:rPr>
                <w:rStyle w:val="Emphasis"/>
              </w:rPr>
              <w:t>3</w:t>
            </w:r>
            <w:r>
              <w:t>)</w:t>
            </w:r>
          </w:p>
        </w:tc>
        <w:tc>
          <w:tcPr>
            <w:tcW w:w="9931" w:type="dxa"/>
            <w:tcBorders/>
            <w:vAlign w:val="center"/>
          </w:tcPr>
          <w:p>
            <w:pPr>
              <w:pStyle w:val="TableContents"/>
              <w:bidi w:val="0"/>
              <w:spacing w:before="0" w:after="283"/>
              <w:jc w:val="both"/>
            </w:pPr>
            <w:r>
              <w:t>The Company’s net investments in sales-type leases were for its DirectScan system and CV system assets. The components of net investments in sales-type leases were as follows (in thousands):</w:t>
            </w:r>
          </w:p>
        </w:tc>
      </w:tr>
    </w:tbl>
    <w:p>
      <w:pPr>
        <w:pStyle w:val="TextBody"/>
        <w:bidi w:val="0"/>
        <w:spacing w:before="0" w:after="0"/>
        <w:ind w:left="0" w:right="0" w:hanging="0"/>
        <w:jc w:val="left"/>
      </w:pPr>
      <w:r>
        <w:t> </w:t>
      </w:r>
    </w:p>
    <w:tbl>
      <w:tblPr>
        <w:tblW w:w="8038" w:type="dxa"/>
        <w:jc w:val="left"/>
        <w:tblInd w:w="0" w:type="dxa"/>
        <w:tblLayout w:type="fixed"/>
        <w:tblCellMar>
          <w:top w:w="0" w:type="dxa"/>
          <w:left w:w="0" w:type="dxa"/>
          <w:bottom w:w="0" w:type="dxa"/>
          <w:right w:w="0" w:type="dxa"/>
        </w:tblCellMar>
      </w:tblPr>
      <w:tblGrid>
        <w:gridCol w:w="5465"/>
        <w:gridCol w:w="60"/>
        <w:gridCol w:w="207"/>
        <w:gridCol w:w="982"/>
        <w:gridCol w:w="60"/>
        <w:gridCol w:w="60"/>
        <w:gridCol w:w="199"/>
        <w:gridCol w:w="945"/>
        <w:gridCol w:w="60"/>
      </w:tblGrid>
      <w:tr>
        <w:tc>
          <w:tcPr>
            <w:tcW w:w="546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pPr>
            <w:r>
              <w:t> </w:t>
            </w:r>
          </w:p>
        </w:tc>
      </w:tr>
      <w:tr>
        <w:tc>
          <w:tcPr>
            <w:tcW w:w="546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receivables</w:t>
            </w:r>
          </w:p>
        </w:tc>
        <w:tc>
          <w:tcPr>
            <w:tcW w:w="60" w:type="dxa"/>
            <w:tcBorders/>
            <w:shd w:fill="CCEEFF" w:val="clear"/>
            <w:vAlign w:val="center"/>
          </w:tcPr>
          <w:p>
            <w:pPr>
              <w:pStyle w:val="TableContents"/>
              <w:bidi w:val="0"/>
              <w:spacing w:before="0" w:after="283"/>
              <w:ind w:left="0" w:right="0" w:hanging="0"/>
              <w:jc w:val="left"/>
            </w:pPr>
            <w: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10,890</w:t>
            </w:r>
          </w:p>
        </w:tc>
        <w:tc>
          <w:tcPr>
            <w:tcW w:w="60" w:type="dxa"/>
            <w:tcBorders/>
            <w:shd w:fill="CCEEFF" w:val="clear"/>
            <w:vAlign w:val="center"/>
          </w:tcPr>
          <w:p>
            <w:pPr>
              <w:pStyle w:val="TableContents"/>
              <w:bidi w:val="0"/>
              <w:spacing w:before="0" w:after="283"/>
              <w:jc w:val="left"/>
            </w:pPr>
            <w:r>
              <w:t> </w:t>
            </w:r>
          </w:p>
        </w:tc>
      </w:tr>
      <w:tr>
        <w:tc>
          <w:tcPr>
            <w:tcW w:w="5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Unguaranteed residual assets</w:t>
            </w:r>
          </w:p>
        </w:tc>
        <w:tc>
          <w:tcPr>
            <w:tcW w:w="60" w:type="dxa"/>
            <w:tcBorders/>
            <w:shd w:fill="FFFFFF" w:val="clear"/>
            <w:vAlign w:val="center"/>
          </w:tcPr>
          <w:p>
            <w:pPr>
              <w:pStyle w:val="TableContents"/>
              <w:bidi w:val="0"/>
              <w:spacing w:before="0" w:after="283"/>
              <w:jc w:val="left"/>
            </w:pPr>
            <w: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10,946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investments in sales-type leases</w:t>
            </w:r>
          </w:p>
        </w:tc>
        <w:tc>
          <w:tcPr>
            <w:tcW w:w="60" w:type="dxa"/>
            <w:tcBorders/>
            <w:shd w:fill="CCEEFF" w:val="clear"/>
            <w:vAlign w:val="center"/>
          </w:tcPr>
          <w:p>
            <w:pPr>
              <w:pStyle w:val="TableContents"/>
              <w:bidi w:val="0"/>
              <w:spacing w:before="0" w:after="283"/>
              <w:ind w:left="0" w:right="0" w:hanging="0"/>
              <w:jc w:val="left"/>
            </w:pPr>
            <w: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30,223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54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Reported as:</w:t>
            </w:r>
          </w:p>
        </w:tc>
        <w:tc>
          <w:tcPr>
            <w:tcW w:w="60" w:type="dxa"/>
            <w:tcBorders/>
            <w:shd w:fill="FFFFFF" w:val="clear"/>
            <w:vAlign w:val="center"/>
          </w:tcPr>
          <w:p>
            <w:pPr>
              <w:pStyle w:val="TableContents"/>
              <w:bidi w:val="0"/>
              <w:spacing w:before="0" w:after="283"/>
              <w:jc w:val="left"/>
            </w:pPr>
            <w:r>
              <w:t> </w:t>
            </w:r>
          </w:p>
        </w:tc>
        <w:tc>
          <w:tcPr>
            <w:tcW w:w="207" w:type="dxa"/>
            <w:tcBorders/>
            <w:shd w:fill="FFFFFF" w:val="clear"/>
            <w:vAlign w:val="center"/>
          </w:tcPr>
          <w:p>
            <w:pPr>
              <w:pStyle w:val="TableContents"/>
              <w:bidi w:val="0"/>
              <w:spacing w:before="0" w:after="283"/>
              <w:jc w:val="left"/>
            </w:pPr>
            <w:r>
              <w:t> </w:t>
            </w:r>
          </w:p>
        </w:tc>
        <w:tc>
          <w:tcPr>
            <w:tcW w:w="98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9" w:type="dxa"/>
            <w:tcBorders/>
            <w:shd w:fill="FFFFFF" w:val="clear"/>
            <w:vAlign w:val="center"/>
          </w:tcPr>
          <w:p>
            <w:pPr>
              <w:pStyle w:val="TableContents"/>
              <w:bidi w:val="0"/>
              <w:spacing w:before="0" w:after="283"/>
              <w:jc w:val="left"/>
            </w:pPr>
            <w:r>
              <w:t> </w:t>
            </w:r>
          </w:p>
        </w:tc>
        <w:tc>
          <w:tcPr>
            <w:tcW w:w="9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5465" w:type="dxa"/>
            <w:tcBorders/>
            <w:shd w:fill="CCEEFF" w:val="clear"/>
            <w:vAlign w:val="center"/>
          </w:tcPr>
          <w:p>
            <w:pPr>
              <w:pStyle w:val="TableContents"/>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Current (included in Prepaid expenses and other current assets)</w:t>
            </w:r>
          </w:p>
        </w:tc>
        <w:tc>
          <w:tcPr>
            <w:tcW w:w="60" w:type="dxa"/>
            <w:tcBorders/>
            <w:shd w:fill="CCEEFF" w:val="clear"/>
            <w:vAlign w:val="center"/>
          </w:tcPr>
          <w:p>
            <w:pPr>
              <w:pStyle w:val="TableContents"/>
              <w:bidi w:val="0"/>
              <w:spacing w:before="0" w:after="283"/>
              <w:ind w:left="0" w:right="0" w:hanging="0"/>
              <w:jc w:val="left"/>
            </w:pPr>
            <w: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14,248</w:t>
            </w:r>
          </w:p>
        </w:tc>
        <w:tc>
          <w:tcPr>
            <w:tcW w:w="60" w:type="dxa"/>
            <w:tcBorders/>
            <w:shd w:fill="CCEEFF" w:val="clear"/>
            <w:vAlign w:val="center"/>
          </w:tcPr>
          <w:p>
            <w:pPr>
              <w:pStyle w:val="TableContents"/>
              <w:bidi w:val="0"/>
              <w:spacing w:before="0" w:after="283"/>
              <w:jc w:val="left"/>
            </w:pPr>
            <w:r>
              <w:t> </w:t>
            </w:r>
          </w:p>
        </w:tc>
      </w:tr>
      <w:tr>
        <w:tc>
          <w:tcPr>
            <w:tcW w:w="546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(included in Other non-current assets)</w:t>
            </w:r>
          </w:p>
        </w:tc>
        <w:tc>
          <w:tcPr>
            <w:tcW w:w="60" w:type="dxa"/>
            <w:tcBorders/>
            <w:shd w:fill="FFFFFF" w:val="clear"/>
            <w:vAlign w:val="center"/>
          </w:tcPr>
          <w:p>
            <w:pPr>
              <w:pStyle w:val="TableContents"/>
              <w:bidi w:val="0"/>
              <w:spacing w:before="0" w:after="283"/>
              <w:jc w:val="left"/>
            </w:pPr>
            <w: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investments in sales-type leases</w:t>
            </w:r>
          </w:p>
        </w:tc>
        <w:tc>
          <w:tcPr>
            <w:tcW w:w="60" w:type="dxa"/>
            <w:tcBorders/>
            <w:shd w:fill="CCEEFF" w:val="clear"/>
            <w:vAlign w:val="center"/>
          </w:tcPr>
          <w:p>
            <w:pPr>
              <w:pStyle w:val="TableContents"/>
              <w:bidi w:val="0"/>
              <w:spacing w:before="0" w:after="283"/>
              <w:ind w:left="0" w:right="0" w:hanging="0"/>
              <w:jc w:val="left"/>
            </w:pPr>
            <w: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30,223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720" w:right="0" w:hanging="0"/>
        <w:jc w:val="both"/>
      </w:pPr>
      <w:r>
        <w:rPr>
          <w:rFonts w:ascii="Times New Roman" w:hAnsi="Times New Roman"/>
          <w:caps w:val="false"/>
          <w:smallCaps w:val="false"/>
          <w:sz w:val="20"/>
        </w:rPr>
        <w:t xml:space="preserve">Maturities of leases payments under sales-type leases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995" w:type="dxa"/>
        <w:jc w:val="left"/>
        <w:tblInd w:w="0" w:type="dxa"/>
        <w:tblLayout w:type="fixed"/>
        <w:tblCellMar>
          <w:top w:w="0" w:type="dxa"/>
          <w:left w:w="0" w:type="dxa"/>
          <w:bottom w:w="0" w:type="dxa"/>
          <w:right w:w="0" w:type="dxa"/>
        </w:tblCellMar>
      </w:tblPr>
      <w:tblGrid>
        <w:gridCol w:w="3125"/>
        <w:gridCol w:w="60"/>
        <w:gridCol w:w="125"/>
        <w:gridCol w:w="590"/>
        <w:gridCol w:w="95"/>
      </w:tblGrid>
      <w:t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 December 31,</w:t>
            </w:r>
          </w:p>
        </w:tc>
        <w:tc>
          <w:tcPr>
            <w:tcW w:w="60" w:type="dxa"/>
            <w:tcBorders/>
            <w:shd w:fill="FFFFFF" w:val="clear"/>
            <w:vAlign w:val="center"/>
          </w:tcPr>
          <w:p>
            <w:pPr>
              <w:pStyle w:val="TableContents"/>
              <w:bidi w:val="0"/>
              <w:spacing w:before="0" w:after="283"/>
              <w:ind w:left="0" w:right="0" w:hanging="0"/>
              <w:jc w:val="left"/>
            </w:pPr>
            <w: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Amount</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r>
      <w:t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three months)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5,281</w:t>
            </w:r>
          </w:p>
        </w:tc>
        <w:tc>
          <w:tcPr>
            <w:tcW w:w="95" w:type="dxa"/>
            <w:tcBorders/>
            <w:shd w:fill="CCEEFF" w:val="clear"/>
            <w:vAlign w:val="center"/>
          </w:tcPr>
          <w:p>
            <w:pPr>
              <w:pStyle w:val="TableContents"/>
              <w:bidi w:val="0"/>
              <w:spacing w:before="0" w:after="283"/>
              <w:jc w:val="left"/>
            </w:pPr>
            <w:r>
              <w:t> </w:t>
            </w:r>
          </w:p>
        </w:tc>
      </w:tr>
      <w:t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3,527</w:t>
            </w:r>
          </w:p>
        </w:tc>
        <w:tc>
          <w:tcPr>
            <w:tcW w:w="95" w:type="dxa"/>
            <w:tcBorders/>
            <w:shd w:fill="FFFFFF" w:val="clear"/>
            <w:vAlign w:val="center"/>
          </w:tcPr>
          <w:p>
            <w:pPr>
              <w:pStyle w:val="TableContents"/>
              <w:bidi w:val="0"/>
              <w:spacing w:before="0" w:after="283"/>
              <w:ind w:left="0" w:right="0" w:hanging="0"/>
              <w:jc w:val="left"/>
            </w:pPr>
            <w:r>
              <w:t> </w:t>
            </w:r>
          </w:p>
        </w:tc>
      </w:tr>
      <w:t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590"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3,109</w:t>
            </w:r>
          </w:p>
        </w:tc>
        <w:tc>
          <w:tcPr>
            <w:tcW w:w="95" w:type="dxa"/>
            <w:tcBorders/>
            <w:shd w:fill="CCEEFF" w:val="clear"/>
            <w:vAlign w:val="center"/>
          </w:tcPr>
          <w:p>
            <w:pPr>
              <w:pStyle w:val="TableContents"/>
              <w:bidi w:val="0"/>
              <w:spacing w:before="0" w:after="283"/>
              <w:jc w:val="left"/>
            </w:pPr>
            <w:r>
              <w:t> </w:t>
            </w:r>
          </w:p>
        </w:tc>
      </w:tr>
      <w:t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3,109</w:t>
            </w:r>
          </w:p>
        </w:tc>
        <w:tc>
          <w:tcPr>
            <w:tcW w:w="95" w:type="dxa"/>
            <w:tcBorders/>
            <w:shd w:fill="FFFFFF" w:val="clear"/>
            <w:vAlign w:val="center"/>
          </w:tcPr>
          <w:p>
            <w:pPr>
              <w:pStyle w:val="TableContents"/>
              <w:bidi w:val="0"/>
              <w:spacing w:before="0" w:after="283"/>
              <w:jc w:val="left"/>
            </w:pPr>
            <w:r>
              <w:t> </w:t>
            </w:r>
          </w:p>
        </w:tc>
      </w:tr>
      <w:t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2,915</w:t>
            </w:r>
          </w:p>
        </w:tc>
        <w:tc>
          <w:tcPr>
            <w:tcW w:w="95" w:type="dxa"/>
            <w:tcBorders/>
            <w:shd w:fill="CCEEFF" w:val="clear"/>
            <w:vAlign w:val="center"/>
          </w:tcPr>
          <w:p>
            <w:pPr>
              <w:pStyle w:val="TableContents"/>
              <w:bidi w:val="0"/>
              <w:spacing w:before="0" w:after="283"/>
              <w:jc w:val="left"/>
            </w:pPr>
            <w:r>
              <w:t> </w:t>
            </w:r>
          </w:p>
        </w:tc>
      </w:tr>
      <w:t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2,931</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future sales-type lease payments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20,872</w:t>
            </w:r>
          </w:p>
        </w:tc>
        <w:tc>
          <w:tcPr>
            <w:tcW w:w="95" w:type="dxa"/>
            <w:tcBorders/>
            <w:shd w:fill="CCEEFF" w:val="clear"/>
            <w:vAlign w:val="center"/>
          </w:tcPr>
          <w:p>
            <w:pPr>
              <w:pStyle w:val="TableContents"/>
              <w:bidi w:val="0"/>
              <w:spacing w:before="0" w:after="283"/>
              <w:jc w:val="left"/>
            </w:pPr>
            <w:r>
              <w:t> </w:t>
            </w:r>
          </w:p>
        </w:tc>
      </w:tr>
      <w:t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Implied interest (1)</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receivables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17,522</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HorizontalLine"/>
        <w:pBdr>
          <w:bottom w:val="double" w:sz="2" w:space="0" w:color="808080"/>
        </w:pBdr>
        <w:bidi w:val="0"/>
        <w:spacing w:before="0" w:after="283"/>
        <w:jc w:val="left"/>
      </w:pPr>
      <w:r/>
    </w:p>
    <w:tbl>
      <w:tblPr>
        <w:tblW w:w="6145" w:type="dxa"/>
        <w:jc w:val="left"/>
        <w:tblInd w:w="0" w:type="dxa"/>
        <w:tblLayout w:type="fixed"/>
        <w:tblCellMar>
          <w:top w:w="0" w:type="dxa"/>
          <w:left w:w="0" w:type="dxa"/>
          <w:bottom w:w="0" w:type="dxa"/>
          <w:right w:w="0" w:type="dxa"/>
        </w:tblCellMar>
      </w:tblPr>
      <w:tblGrid>
        <w:gridCol w:w="60"/>
        <w:gridCol w:w="245"/>
        <w:gridCol w:w="5840"/>
      </w:tblGrid>
      <w:tr>
        <w:tc>
          <w:tcPr>
            <w:tcW w:w="60"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0"/>
              <w:ind w:left="0" w:right="0" w:hanging="0"/>
              <w:jc w:val="left"/>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58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Calculated using the rate implicit in the lease determined for each 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There was no allowance for credit losses on lease receivables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Company’s ongoing risk management strategy for residual assets includes performing regular reviews of estimated residual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Accrued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Accrued and other current liabilities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983" w:type="dxa"/>
        <w:jc w:val="left"/>
        <w:tblInd w:w="0" w:type="dxa"/>
        <w:tblLayout w:type="fixed"/>
        <w:tblCellMar>
          <w:top w:w="0" w:type="dxa"/>
          <w:left w:w="0" w:type="dxa"/>
          <w:bottom w:w="0" w:type="dxa"/>
          <w:right w:w="0" w:type="dxa"/>
        </w:tblCellMar>
      </w:tblPr>
      <w:tblGrid>
        <w:gridCol w:w="3395"/>
        <w:gridCol w:w="60"/>
        <w:gridCol w:w="243"/>
        <w:gridCol w:w="946"/>
        <w:gridCol w:w="60"/>
        <w:gridCol w:w="60"/>
        <w:gridCol w:w="234"/>
        <w:gridCol w:w="910"/>
        <w:gridCol w:w="75"/>
      </w:tblGrid>
      <w:tr>
        <w:tc>
          <w:tcPr>
            <w:tcW w:w="33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w:t>
            </w:r>
          </w:p>
        </w:tc>
        <w:tc>
          <w:tcPr>
            <w:tcW w:w="75" w:type="dxa"/>
            <w:tcBorders/>
            <w:shd w:fill="FFFFFF" w:val="clear"/>
            <w:vAlign w:val="center"/>
          </w:tcPr>
          <w:p>
            <w:pPr>
              <w:pStyle w:val="TableContents"/>
              <w:bidi w:val="0"/>
              <w:spacing w:before="0" w:after="283"/>
              <w:jc w:val="left"/>
            </w:pPr>
            <w:r>
              <w:t> </w:t>
            </w:r>
          </w:p>
        </w:tc>
      </w:tr>
      <w:tr>
        <w:tc>
          <w:tcPr>
            <w:tcW w:w="33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CCEEFF" w:val="clear"/>
            <w:vAlign w:val="center"/>
          </w:tcPr>
          <w:p>
            <w:pPr>
              <w:pStyle w:val="TableContents"/>
              <w:bidi w:val="0"/>
              <w:spacing w:before="0" w:after="283"/>
              <w:ind w:left="0" w:right="0" w:hanging="0"/>
              <w:jc w:val="left"/>
            </w:pPr>
            <w: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7,061</w:t>
            </w:r>
          </w:p>
        </w:tc>
        <w:tc>
          <w:tcPr>
            <w:tcW w:w="75" w:type="dxa"/>
            <w:tcBorders/>
            <w:shd w:fill="CCEEFF" w:val="clear"/>
            <w:vAlign w:val="center"/>
          </w:tcPr>
          <w:p>
            <w:pPr>
              <w:pStyle w:val="TableContents"/>
              <w:bidi w:val="0"/>
              <w:spacing w:before="0" w:after="283"/>
              <w:jc w:val="left"/>
            </w:pPr>
            <w:r>
              <w:t> </w:t>
            </w:r>
          </w:p>
        </w:tc>
      </w:tr>
      <w:t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income taxes</w:t>
            </w:r>
          </w:p>
        </w:tc>
        <w:tc>
          <w:tcPr>
            <w:tcW w:w="60" w:type="dxa"/>
            <w:tcBorders/>
            <w:shd w:fill="FFFFFF" w:val="clear"/>
            <w:vAlign w:val="center"/>
          </w:tcPr>
          <w:p>
            <w:pPr>
              <w:pStyle w:val="TableContents"/>
              <w:bidi w:val="0"/>
              <w:spacing w:before="0" w:after="283"/>
              <w:jc w:val="left"/>
            </w:pPr>
            <w:r>
              <w:t> </w:t>
            </w:r>
          </w:p>
        </w:tc>
        <w:tc>
          <w:tcPr>
            <w:tcW w:w="243" w:type="dxa"/>
            <w:tcBorders/>
            <w:shd w:fill="FFFFFF" w:val="clear"/>
            <w:vAlign w:val="center"/>
          </w:tcPr>
          <w:p>
            <w:pPr>
              <w:pStyle w:val="TableContents"/>
              <w:bidi w:val="0"/>
              <w:spacing w:before="0" w:after="283"/>
              <w:ind w:left="0" w:right="0" w:hanging="0"/>
              <w:jc w:val="left"/>
            </w:pPr>
            <w: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4" w:type="dxa"/>
            <w:tcBorders/>
            <w:shd w:fill="FFFFFF" w:val="clear"/>
            <w:vAlign w:val="center"/>
          </w:tcPr>
          <w:p>
            <w:pPr>
              <w:pStyle w:val="TableContents"/>
              <w:bidi w:val="0"/>
              <w:spacing w:before="0" w:after="283"/>
              <w:ind w:left="0" w:right="0" w:hanging="0"/>
              <w:jc w:val="left"/>
            </w:pPr>
            <w: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75" w:type="dxa"/>
            <w:tcBorders/>
            <w:shd w:fill="FFFFFF" w:val="clear"/>
            <w:vAlign w:val="center"/>
          </w:tcPr>
          <w:p>
            <w:pPr>
              <w:pStyle w:val="TableContents"/>
              <w:bidi w:val="0"/>
              <w:spacing w:before="0" w:after="283"/>
              <w:jc w:val="left"/>
            </w:pPr>
            <w:r>
              <w:t> </w:t>
            </w:r>
          </w:p>
        </w:tc>
      </w:tr>
      <w:t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pPr>
            <w: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and other current liabilities</w:t>
            </w:r>
          </w:p>
        </w:tc>
        <w:tc>
          <w:tcPr>
            <w:tcW w:w="60" w:type="dxa"/>
            <w:tcBorders/>
            <w:shd w:fill="FFFFFF" w:val="clear"/>
            <w:vAlign w:val="center"/>
          </w:tcPr>
          <w:p>
            <w:pPr>
              <w:pStyle w:val="TableContents"/>
              <w:bidi w:val="0"/>
              <w:spacing w:before="0" w:after="283"/>
              <w:ind w:left="0" w:right="0" w:hanging="0"/>
              <w:jc w:val="left"/>
            </w:pPr>
            <w: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8,719</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leases administrative and sales offices and certain equipment under non-cancellable operating leases, which contain various renewal or termination options and, in some cases, require payment of common area costs, taxes and utilities. These operating leases expire at various dates through </w:t>
      </w:r>
      <w:r>
        <w:rPr>
          <w:rStyle w:val="Emphasis"/>
          <w:rFonts w:ascii="Times New Roman" w:hAnsi="Times New Roman"/>
          <w:caps w:val="false"/>
          <w:smallCaps w:val="false"/>
          <w:sz w:val="20"/>
        </w:rPr>
        <w:t>2033.</w:t>
      </w:r>
      <w:r>
        <w:rPr>
          <w:rFonts w:ascii="Times New Roman" w:hAnsi="Times New Roman"/>
          <w:caps w:val="false"/>
          <w:smallCaps w:val="false"/>
          <w:sz w:val="20"/>
        </w:rPr>
        <w:t xml:space="preserve"> The Company had no leases that were classified as a financing lease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Lease expense was comprised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9926" w:type="dxa"/>
        <w:jc w:val="left"/>
        <w:tblInd w:w="0" w:type="dxa"/>
        <w:tblLayout w:type="fixed"/>
        <w:tblCellMar>
          <w:top w:w="0" w:type="dxa"/>
          <w:left w:w="0" w:type="dxa"/>
          <w:bottom w:w="0" w:type="dxa"/>
          <w:right w:w="0" w:type="dxa"/>
        </w:tblCellMar>
      </w:tblPr>
      <w:tblGrid>
        <w:gridCol w:w="3815"/>
        <w:gridCol w:w="60"/>
        <w:gridCol w:w="357"/>
        <w:gridCol w:w="958"/>
        <w:gridCol w:w="171"/>
        <w:gridCol w:w="171"/>
        <w:gridCol w:w="357"/>
        <w:gridCol w:w="958"/>
        <w:gridCol w:w="60"/>
        <w:gridCol w:w="60"/>
        <w:gridCol w:w="269"/>
        <w:gridCol w:w="1044"/>
        <w:gridCol w:w="129"/>
        <w:gridCol w:w="129"/>
        <w:gridCol w:w="269"/>
        <w:gridCol w:w="1044"/>
        <w:gridCol w:w="75"/>
      </w:tblGrid>
      <w:tr>
        <w:tc>
          <w:tcPr>
            <w:tcW w:w="38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8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71"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71" w:type="dxa"/>
            <w:tcBorders/>
            <w:shd w:fill="FFFFFF" w:val="clear"/>
            <w:vAlign w:val="center"/>
          </w:tcPr>
          <w:p>
            <w:pPr>
              <w:pStyle w:val="TableContents"/>
              <w:bidi w:val="0"/>
              <w:spacing w:before="0" w:after="283"/>
              <w:ind w:left="0" w:right="0" w:hanging="0"/>
              <w:jc w:val="left"/>
            </w:pPr>
            <w:r>
              <w:t> </w:t>
            </w:r>
          </w:p>
        </w:tc>
        <w:tc>
          <w:tcPr>
            <w:tcW w:w="13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29"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ind w:left="0" w:right="0" w:hanging="0"/>
              <w:jc w:val="left"/>
            </w:pPr>
            <w:r>
              <w:t> </w:t>
            </w:r>
          </w:p>
        </w:tc>
        <w:tc>
          <w:tcPr>
            <w:tcW w:w="13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expense</w:t>
            </w:r>
          </w:p>
        </w:tc>
        <w:tc>
          <w:tcPr>
            <w:tcW w:w="60" w:type="dxa"/>
            <w:tcBorders/>
            <w:shd w:fill="CCEEFF" w:val="clear"/>
            <w:vAlign w:val="center"/>
          </w:tcPr>
          <w:p>
            <w:pPr>
              <w:pStyle w:val="TableContents"/>
              <w:bidi w:val="0"/>
              <w:spacing w:before="0" w:after="283"/>
              <w:ind w:left="0" w:right="0" w:hanging="0"/>
              <w:jc w:val="left"/>
            </w:pPr>
            <w:r>
              <w:t> </w:t>
            </w:r>
          </w:p>
        </w:tc>
        <w:tc>
          <w:tcPr>
            <w:tcW w:w="3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p>
        </w:tc>
        <w:tc>
          <w:tcPr>
            <w:tcW w:w="171"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ind w:left="0" w:right="0" w:hanging="0"/>
              <w:jc w:val="left"/>
            </w:pPr>
            <w:r>
              <w:t> </w:t>
            </w:r>
          </w:p>
        </w:tc>
        <w:tc>
          <w:tcPr>
            <w:tcW w:w="3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w:t>
            </w:r>
          </w:p>
        </w:tc>
        <w:tc>
          <w:tcPr>
            <w:tcW w:w="129"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ind w:left="0" w:right="0" w:hanging="0"/>
              <w:jc w:val="left"/>
            </w:pPr>
            <w:r>
              <w:t> </w:t>
            </w:r>
          </w:p>
        </w:tc>
        <w:tc>
          <w:tcPr>
            <w:tcW w:w="2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w:t>
            </w:r>
          </w:p>
        </w:tc>
        <w:tc>
          <w:tcPr>
            <w:tcW w:w="75" w:type="dxa"/>
            <w:tcBorders/>
            <w:shd w:fill="CCEEFF" w:val="clear"/>
            <w:vAlign w:val="center"/>
          </w:tcPr>
          <w:p>
            <w:pPr>
              <w:pStyle w:val="TableContents"/>
              <w:bidi w:val="0"/>
              <w:spacing w:before="0" w:after="283"/>
              <w:jc w:val="left"/>
            </w:pPr>
            <w:r>
              <w:t> </w:t>
            </w:r>
          </w:p>
        </w:tc>
      </w:tr>
      <w:t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and variable lease expense (1)</w:t>
            </w:r>
          </w:p>
        </w:tc>
        <w:tc>
          <w:tcPr>
            <w:tcW w:w="60" w:type="dxa"/>
            <w:tcBorders/>
            <w:shd w:fill="FFFFFF" w:val="clear"/>
            <w:vAlign w:val="center"/>
          </w:tcPr>
          <w:p>
            <w:pPr>
              <w:pStyle w:val="TableContents"/>
              <w:bidi w:val="0"/>
              <w:spacing w:before="0" w:after="283"/>
              <w:jc w:val="left"/>
            </w:pPr>
            <w:r>
              <w:t> </w:t>
            </w:r>
          </w:p>
        </w:tc>
        <w:tc>
          <w:tcPr>
            <w:tcW w:w="3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171"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71" w:type="dxa"/>
            <w:tcBorders/>
            <w:shd w:fill="FFFFFF" w:val="clear"/>
            <w:vAlign w:val="center"/>
          </w:tcPr>
          <w:p>
            <w:pPr>
              <w:pStyle w:val="TableContents"/>
              <w:bidi w:val="0"/>
              <w:spacing w:before="0" w:after="283"/>
              <w:jc w:val="left"/>
            </w:pPr>
            <w:r>
              <w:t> </w:t>
            </w:r>
          </w:p>
        </w:tc>
        <w:tc>
          <w:tcPr>
            <w:tcW w:w="3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w:t>
            </w:r>
          </w:p>
        </w:tc>
        <w:tc>
          <w:tcPr>
            <w:tcW w:w="129"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29" w:type="dxa"/>
            <w:tcBorders/>
            <w:shd w:fill="FFFFFF" w:val="clear"/>
            <w:vAlign w:val="center"/>
          </w:tcPr>
          <w:p>
            <w:pPr>
              <w:pStyle w:val="TableContents"/>
              <w:bidi w:val="0"/>
              <w:spacing w:before="0" w:after="283"/>
              <w:jc w:val="left"/>
            </w:pPr>
            <w: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expense</w:t>
            </w:r>
          </w:p>
        </w:tc>
        <w:tc>
          <w:tcPr>
            <w:tcW w:w="60" w:type="dxa"/>
            <w:tcBorders/>
            <w:shd w:fill="CCEEFF" w:val="clear"/>
            <w:vAlign w:val="center"/>
          </w:tcPr>
          <w:p>
            <w:pPr>
              <w:pStyle w:val="TableContents"/>
              <w:bidi w:val="0"/>
              <w:spacing w:before="0" w:after="283"/>
              <w:ind w:left="0" w:right="0" w:hanging="0"/>
              <w:jc w:val="left"/>
            </w:pPr>
            <w:r>
              <w:t> </w:t>
            </w:r>
          </w:p>
        </w:tc>
        <w:tc>
          <w:tcPr>
            <w:tcW w:w="3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ind w:left="0" w:right="0" w:hanging="0"/>
              <w:jc w:val="left"/>
            </w:pPr>
            <w:r>
              <w:t> </w:t>
            </w:r>
          </w:p>
        </w:tc>
        <w:tc>
          <w:tcPr>
            <w:tcW w:w="3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ind w:left="0" w:right="0" w:hanging="0"/>
              <w:jc w:val="left"/>
            </w:pPr>
            <w: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tbl>
      <w:tblPr>
        <w:tblW w:w="10205" w:type="dxa"/>
        <w:jc w:val="left"/>
        <w:tblInd w:w="0" w:type="dxa"/>
        <w:tblLayout w:type="fixed"/>
        <w:tblCellMar>
          <w:top w:w="0" w:type="dxa"/>
          <w:left w:w="0" w:type="dxa"/>
          <w:bottom w:w="0" w:type="dxa"/>
          <w:right w:w="0" w:type="dxa"/>
        </w:tblCellMar>
      </w:tblPr>
      <w:tblGrid>
        <w:gridCol w:w="60"/>
        <w:gridCol w:w="168"/>
        <w:gridCol w:w="9977"/>
      </w:tblGrid>
      <w:tr>
        <w:tc>
          <w:tcPr>
            <w:tcW w:w="60" w:type="dxa"/>
            <w:tcBorders/>
            <w:vAlign w:val="center"/>
          </w:tcPr>
          <w:p>
            <w:pPr>
              <w:pStyle w:val="TableContents"/>
              <w:bidi w:val="0"/>
              <w:spacing w:before="0" w:after="283"/>
              <w:jc w:val="left"/>
            </w:pPr>
            <w:r>
              <w:t> </w:t>
            </w:r>
          </w:p>
        </w:tc>
        <w:tc>
          <w:tcPr>
            <w:tcW w:w="168" w:type="dxa"/>
            <w:tcBorders/>
            <w:vAlign w:val="center"/>
          </w:tcPr>
          <w:p>
            <w:pPr>
              <w:pStyle w:val="TableContents"/>
              <w:bidi w:val="0"/>
              <w:spacing w:before="0" w:after="0"/>
              <w:ind w:left="0" w:right="0" w:hanging="0"/>
              <w:jc w:val="left"/>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77" w:type="dxa"/>
            <w:tcBorders/>
            <w:vAlign w:val="center"/>
          </w:tcPr>
          <w:p>
            <w:pPr>
              <w:pStyle w:val="TableContents"/>
              <w:bidi w:val="0"/>
              <w:spacing w:before="0" w:after="0"/>
              <w:ind w:left="0" w:right="0" w:hanging="0"/>
              <w:jc w:val="both"/>
            </w:pPr>
            <w:r>
              <w:rPr>
                <w:rFonts w:ascii="Times New Roman" w:hAnsi="Times New Roman"/>
                <w:caps w:val="false"/>
                <w:smallCaps w:val="false"/>
                <w:sz w:val="20"/>
              </w:rPr>
              <w:t xml:space="preserve">Leases with an initial term of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or less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on the condensed consolidated balance sheets, and the Company recognizes lease expense for these leases on a straight-line basis over the lease term. Variable lease expense for the periods presented primarily included common area maintenance charges.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Supplemental information related to operating leases were as follows:</w:t>
      </w:r>
    </w:p>
    <w:p>
      <w:pPr>
        <w:pStyle w:val="TextBody"/>
        <w:bidi w:val="0"/>
        <w:spacing w:before="0" w:after="0"/>
        <w:ind w:left="0" w:right="0" w:hanging="0"/>
        <w:jc w:val="left"/>
        <w:rPr>
          <w:caps w:val="false"/>
          <w:smallCaps w:val="false"/>
        </w:rPr>
      </w:pPr>
      <w:r>
        <w:rPr>
          <w:caps w:val="false"/>
          <w:smallCaps w:val="false"/>
        </w:rPr>
        <w:t> </w:t>
      </w:r>
    </w:p>
    <w:tbl>
      <w:tblPr>
        <w:tblW w:w="8723" w:type="dxa"/>
        <w:jc w:val="left"/>
        <w:tblInd w:w="0" w:type="dxa"/>
        <w:tblLayout w:type="fixed"/>
        <w:tblCellMar>
          <w:top w:w="0" w:type="dxa"/>
          <w:left w:w="0" w:type="dxa"/>
          <w:bottom w:w="0" w:type="dxa"/>
          <w:right w:w="0" w:type="dxa"/>
        </w:tblCellMar>
      </w:tblPr>
      <w:tblGrid>
        <w:gridCol w:w="5885"/>
        <w:gridCol w:w="60"/>
        <w:gridCol w:w="212"/>
        <w:gridCol w:w="977"/>
        <w:gridCol w:w="185"/>
        <w:gridCol w:w="60"/>
        <w:gridCol w:w="204"/>
        <w:gridCol w:w="940"/>
        <w:gridCol w:w="200"/>
      </w:tblGrid>
      <w:tr>
        <w:tc>
          <w:tcPr>
            <w:tcW w:w="58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w:t>
            </w:r>
          </w:p>
        </w:tc>
        <w:tc>
          <w:tcPr>
            <w:tcW w:w="200" w:type="dxa"/>
            <w:tcBorders/>
            <w:shd w:fill="FFFFFF" w:val="clear"/>
            <w:vAlign w:val="center"/>
          </w:tcPr>
          <w:p>
            <w:pPr>
              <w:pStyle w:val="TableContents"/>
              <w:bidi w:val="0"/>
              <w:spacing w:before="0" w:after="283"/>
              <w:jc w:val="left"/>
            </w:pPr>
            <w:r>
              <w:t> </w:t>
            </w:r>
          </w:p>
        </w:tc>
      </w:tr>
      <w:tr>
        <w:tc>
          <w:tcPr>
            <w:tcW w:w="58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under operating leases (in years)</w:t>
            </w:r>
          </w:p>
        </w:tc>
        <w:tc>
          <w:tcPr>
            <w:tcW w:w="60" w:type="dxa"/>
            <w:tcBorders/>
            <w:shd w:fill="CCEEFF" w:val="clear"/>
            <w:vAlign w:val="center"/>
          </w:tcPr>
          <w:p>
            <w:pPr>
              <w:pStyle w:val="TableContents"/>
              <w:bidi w:val="0"/>
              <w:spacing w:before="0" w:after="283"/>
              <w:jc w:val="left"/>
            </w:pPr>
            <w:r>
              <w:t> </w:t>
            </w:r>
          </w:p>
        </w:tc>
        <w:tc>
          <w:tcPr>
            <w:tcW w:w="212" w:type="dxa"/>
            <w:tcBorders/>
            <w:shd w:fill="CCEEFF" w:val="clear"/>
            <w:vAlign w:val="center"/>
          </w:tcPr>
          <w:p>
            <w:pPr>
              <w:pStyle w:val="TableContents"/>
              <w:bidi w:val="0"/>
              <w:spacing w:before="0" w:after="283"/>
              <w:ind w:left="0" w:right="0" w:hanging="0"/>
              <w:jc w:val="left"/>
            </w:pPr>
            <w: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ind w:left="0" w:right="0" w:hanging="0"/>
              <w:jc w:val="left"/>
            </w:pPr>
            <w: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200" w:type="dxa"/>
            <w:tcBorders/>
            <w:shd w:fill="CCEEFF" w:val="clear"/>
            <w:vAlign w:val="center"/>
          </w:tcPr>
          <w:p>
            <w:pPr>
              <w:pStyle w:val="TableContents"/>
              <w:bidi w:val="0"/>
              <w:spacing w:before="0" w:after="283"/>
              <w:jc w:val="left"/>
            </w:pPr>
            <w:r>
              <w:t> </w:t>
            </w:r>
          </w:p>
        </w:tc>
      </w:tr>
      <w:tr>
        <w:tc>
          <w:tcPr>
            <w:tcW w:w="5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 for operating lease liabilities</w:t>
            </w:r>
          </w:p>
        </w:tc>
        <w:tc>
          <w:tcPr>
            <w:tcW w:w="60" w:type="dxa"/>
            <w:tcBorders/>
            <w:shd w:fill="FFFFFF" w:val="clear"/>
            <w:vAlign w:val="center"/>
          </w:tcPr>
          <w:p>
            <w:pPr>
              <w:pStyle w:val="TableContents"/>
              <w:bidi w:val="0"/>
              <w:spacing w:before="0" w:after="283"/>
              <w:jc w:val="left"/>
            </w:pPr>
            <w:r>
              <w:t> </w:t>
            </w:r>
          </w:p>
        </w:tc>
        <w:tc>
          <w:tcPr>
            <w:tcW w:w="212" w:type="dxa"/>
            <w:tcBorders/>
            <w:shd w:fill="FFFFFF" w:val="clear"/>
            <w:vAlign w:val="center"/>
          </w:tcPr>
          <w:p>
            <w:pPr>
              <w:pStyle w:val="TableContents"/>
              <w:bidi w:val="0"/>
              <w:spacing w:before="0" w:after="283"/>
              <w:ind w:left="0" w:right="0" w:hanging="0"/>
              <w:jc w:val="left"/>
            </w:pPr>
            <w: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ind w:left="0" w:right="0" w:hanging="0"/>
              <w:jc w:val="left"/>
            </w:pPr>
            <w: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firstLine="360"/>
        <w:jc w:val="both"/>
      </w:pPr>
      <w:r>
        <w:rPr>
          <w:rFonts w:ascii="Times New Roman" w:hAnsi="Times New Roman"/>
          <w:caps w:val="false"/>
          <w:smallCaps w:val="false"/>
          <w:sz w:val="20"/>
        </w:rPr>
        <w:t xml:space="preserve">Maturities of operating lease liabilities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7365" w:type="dxa"/>
        <w:jc w:val="left"/>
        <w:tblInd w:w="0" w:type="dxa"/>
        <w:tblLayout w:type="fixed"/>
        <w:tblCellMar>
          <w:top w:w="0" w:type="dxa"/>
          <w:left w:w="0" w:type="dxa"/>
          <w:bottom w:w="0" w:type="dxa"/>
          <w:right w:w="0" w:type="dxa"/>
        </w:tblCellMar>
      </w:tblPr>
      <w:tblGrid>
        <w:gridCol w:w="6545"/>
        <w:gridCol w:w="60"/>
        <w:gridCol w:w="126"/>
        <w:gridCol w:w="554"/>
        <w:gridCol w:w="80"/>
      </w:tblGrid>
      <w:tr>
        <w:tc>
          <w:tcPr>
            <w:tcW w:w="65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 December 31,</w:t>
            </w:r>
          </w:p>
        </w:tc>
        <w:tc>
          <w:tcPr>
            <w:tcW w:w="60" w:type="dxa"/>
            <w:tcBorders/>
            <w:shd w:fill="FFFFFF" w:val="clear"/>
            <w:vAlign w:val="center"/>
          </w:tcPr>
          <w:p>
            <w:pPr>
              <w:pStyle w:val="TableContents"/>
              <w:bidi w:val="0"/>
              <w:spacing w:before="0" w:after="283"/>
              <w:ind w:left="0" w:right="0" w:hanging="0"/>
              <w:jc w:val="left"/>
            </w:pPr>
            <w: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(remaining three months)</w:t>
            </w:r>
          </w:p>
        </w:tc>
        <w:tc>
          <w:tcPr>
            <w:tcW w:w="60" w:type="dxa"/>
            <w:tcBorders/>
            <w:shd w:fill="CCEEFF" w:val="clear"/>
            <w:vAlign w:val="center"/>
          </w:tcPr>
          <w:p>
            <w:pPr>
              <w:pStyle w:val="TableContents"/>
              <w:bidi w:val="0"/>
              <w:spacing w:before="0" w:after="283"/>
              <w:ind w:left="0" w:right="0" w:hanging="0"/>
              <w:jc w:val="left"/>
            </w:pPr>
            <w: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p>
        </w:tc>
        <w:tc>
          <w:tcPr>
            <w:tcW w:w="80" w:type="dxa"/>
            <w:tcBorders/>
            <w:shd w:fill="CCEEFF" w:val="clear"/>
            <w:vAlign w:val="center"/>
          </w:tcPr>
          <w:p>
            <w:pPr>
              <w:pStyle w:val="TableContents"/>
              <w:bidi w:val="0"/>
              <w:spacing w:before="0" w:after="283"/>
              <w:jc w:val="left"/>
            </w:pPr>
            <w:r>
              <w:t> </w:t>
            </w:r>
          </w:p>
        </w:tc>
      </w:tr>
      <w:tr>
        <w:tc>
          <w:tcPr>
            <w:tcW w:w="6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5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2,552</w:t>
            </w:r>
          </w:p>
        </w:tc>
        <w:tc>
          <w:tcPr>
            <w:tcW w:w="80" w:type="dxa"/>
            <w:tcBorders/>
            <w:shd w:fill="FFFFFF" w:val="clear"/>
            <w:vAlign w:val="center"/>
          </w:tcPr>
          <w:p>
            <w:pPr>
              <w:pStyle w:val="TableContents"/>
              <w:bidi w:val="0"/>
              <w:spacing w:before="0" w:after="283"/>
              <w:jc w:val="left"/>
            </w:pPr>
            <w:r>
              <w:t> </w:t>
            </w:r>
          </w:p>
        </w:tc>
      </w:tr>
      <w:t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5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2,086</w:t>
            </w:r>
          </w:p>
        </w:tc>
        <w:tc>
          <w:tcPr>
            <w:tcW w:w="80" w:type="dxa"/>
            <w:tcBorders/>
            <w:shd w:fill="CCEEFF" w:val="clear"/>
            <w:vAlign w:val="center"/>
          </w:tcPr>
          <w:p>
            <w:pPr>
              <w:pStyle w:val="TableContents"/>
              <w:bidi w:val="0"/>
              <w:spacing w:before="0" w:after="283"/>
              <w:jc w:val="left"/>
            </w:pPr>
            <w:r>
              <w:t> </w:t>
            </w:r>
          </w:p>
        </w:tc>
      </w:tr>
      <w:tr>
        <w:tc>
          <w:tcPr>
            <w:tcW w:w="65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5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w:t>
            </w:r>
          </w:p>
        </w:tc>
        <w:tc>
          <w:tcPr>
            <w:tcW w:w="80" w:type="dxa"/>
            <w:tcBorders/>
            <w:shd w:fill="FFFFFF" w:val="clear"/>
            <w:vAlign w:val="center"/>
          </w:tcPr>
          <w:p>
            <w:pPr>
              <w:pStyle w:val="TableContents"/>
              <w:bidi w:val="0"/>
              <w:spacing w:before="0" w:after="283"/>
              <w:jc w:val="left"/>
            </w:pPr>
            <w:r>
              <w:t> </w:t>
            </w:r>
          </w:p>
        </w:tc>
      </w:tr>
      <w:t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5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1,271</w:t>
            </w:r>
          </w:p>
        </w:tc>
        <w:tc>
          <w:tcPr>
            <w:tcW w:w="80" w:type="dxa"/>
            <w:tcBorders/>
            <w:shd w:fill="CCEEFF" w:val="clear"/>
            <w:vAlign w:val="center"/>
          </w:tcPr>
          <w:p>
            <w:pPr>
              <w:pStyle w:val="TableContents"/>
              <w:bidi w:val="0"/>
              <w:spacing w:before="0" w:after="283"/>
              <w:jc w:val="left"/>
            </w:pPr>
            <w:r>
              <w:t> </w:t>
            </w:r>
          </w:p>
        </w:tc>
      </w:tr>
      <w:tr>
        <w:tc>
          <w:tcPr>
            <w:tcW w:w="6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 and thereafter</w:t>
            </w:r>
          </w:p>
        </w:tc>
        <w:tc>
          <w:tcPr>
            <w:tcW w:w="60" w:type="dxa"/>
            <w:tcBorders/>
            <w:shd w:fill="FFFFFF" w:val="clear"/>
            <w:vAlign w:val="center"/>
          </w:tcPr>
          <w:p>
            <w:pPr>
              <w:pStyle w:val="TableContents"/>
              <w:bidi w:val="0"/>
              <w:spacing w:before="0" w:after="283"/>
              <w:jc w:val="left"/>
            </w:pPr>
            <w: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future minimum lease payments</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5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9,534</w:t>
            </w:r>
          </w:p>
        </w:tc>
        <w:tc>
          <w:tcPr>
            <w:tcW w:w="80" w:type="dxa"/>
            <w:tcBorders/>
            <w:shd w:fill="CCEEFF" w:val="clear"/>
            <w:vAlign w:val="center"/>
          </w:tcPr>
          <w:p>
            <w:pPr>
              <w:pStyle w:val="TableContents"/>
              <w:bidi w:val="0"/>
              <w:spacing w:before="0" w:after="283"/>
              <w:jc w:val="left"/>
            </w:pPr>
            <w:r>
              <w:t> </w:t>
            </w:r>
          </w:p>
        </w:tc>
      </w:tr>
      <w:tr>
        <w:tc>
          <w:tcPr>
            <w:tcW w:w="6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Interest (1)</w:t>
            </w:r>
          </w:p>
        </w:tc>
        <w:tc>
          <w:tcPr>
            <w:tcW w:w="60" w:type="dxa"/>
            <w:tcBorders/>
            <w:shd w:fill="FFFFFF" w:val="clear"/>
            <w:vAlign w:val="center"/>
          </w:tcPr>
          <w:p>
            <w:pPr>
              <w:pStyle w:val="TableContents"/>
              <w:bidi w:val="0"/>
              <w:spacing w:before="0" w:after="283"/>
              <w:jc w:val="left"/>
            </w:pPr>
            <w: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future minimum lease payments under operating lease liabilities</w:t>
            </w:r>
          </w:p>
        </w:tc>
        <w:tc>
          <w:tcPr>
            <w:tcW w:w="60" w:type="dxa"/>
            <w:tcBorders/>
            <w:shd w:fill="CCEEFF" w:val="clear"/>
            <w:vAlign w:val="center"/>
          </w:tcPr>
          <w:p>
            <w:pPr>
              <w:pStyle w:val="TableContents"/>
              <w:bidi w:val="0"/>
              <w:spacing w:before="0" w:after="283"/>
              <w:ind w:left="0" w:right="0" w:hanging="0"/>
              <w:jc w:val="left"/>
            </w:pPr>
            <w: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r>
        <w:tc>
          <w:tcPr>
            <w:tcW w:w="65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Reported as:</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jc w:val="left"/>
            </w:pPr>
            <w:r>
              <w:t> </w:t>
            </w:r>
          </w:p>
        </w:tc>
        <w:tc>
          <w:tcPr>
            <w:tcW w:w="554"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 current</w:t>
            </w:r>
          </w:p>
        </w:tc>
        <w:tc>
          <w:tcPr>
            <w:tcW w:w="60" w:type="dxa"/>
            <w:tcBorders/>
            <w:shd w:fill="CCEEFF" w:val="clear"/>
            <w:vAlign w:val="center"/>
          </w:tcPr>
          <w:p>
            <w:pPr>
              <w:pStyle w:val="TableContents"/>
              <w:bidi w:val="0"/>
              <w:spacing w:before="0" w:after="283"/>
              <w:ind w:left="0" w:right="0" w:hanging="0"/>
              <w:jc w:val="left"/>
            </w:pPr>
            <w: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2,025</w:t>
            </w:r>
          </w:p>
        </w:tc>
        <w:tc>
          <w:tcPr>
            <w:tcW w:w="80" w:type="dxa"/>
            <w:tcBorders/>
            <w:shd w:fill="CCEEFF" w:val="clear"/>
            <w:vAlign w:val="center"/>
          </w:tcPr>
          <w:p>
            <w:pPr>
              <w:pStyle w:val="TableContents"/>
              <w:bidi w:val="0"/>
              <w:spacing w:before="0" w:after="283"/>
              <w:jc w:val="left"/>
            </w:pPr>
            <w:r>
              <w:t> </w:t>
            </w:r>
          </w:p>
        </w:tc>
      </w:tr>
      <w:tr>
        <w:tc>
          <w:tcPr>
            <w:tcW w:w="6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 non-current</w:t>
            </w:r>
          </w:p>
        </w:tc>
        <w:tc>
          <w:tcPr>
            <w:tcW w:w="60" w:type="dxa"/>
            <w:tcBorders/>
            <w:shd w:fill="FFFFFF" w:val="clear"/>
            <w:vAlign w:val="center"/>
          </w:tcPr>
          <w:p>
            <w:pPr>
              <w:pStyle w:val="TableContents"/>
              <w:bidi w:val="0"/>
              <w:spacing w:before="0" w:after="283"/>
              <w:jc w:val="left"/>
            </w:pPr>
            <w: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CCEEFF" w:val="clear"/>
            <w:vAlign w:val="center"/>
          </w:tcPr>
          <w:p>
            <w:pPr>
              <w:pStyle w:val="TableContents"/>
              <w:bidi w:val="0"/>
              <w:spacing w:before="0" w:after="283"/>
              <w:ind w:left="0" w:right="0" w:hanging="0"/>
              <w:jc w:val="left"/>
            </w:pPr>
            <w: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HorizontalLine"/>
        <w:pBdr>
          <w:bottom w:val="double" w:sz="2" w:space="0" w:color="808080"/>
        </w:pBdr>
        <w:bidi w:val="0"/>
        <w:spacing w:before="0" w:after="283"/>
        <w:jc w:val="left"/>
      </w:pPr>
      <w:r/>
    </w:p>
    <w:tbl>
      <w:tblPr>
        <w:tblW w:w="5770" w:type="dxa"/>
        <w:jc w:val="left"/>
        <w:tblInd w:w="0" w:type="dxa"/>
        <w:tblLayout w:type="fixed"/>
        <w:tblCellMar>
          <w:top w:w="0" w:type="dxa"/>
          <w:left w:w="0" w:type="dxa"/>
          <w:bottom w:w="0" w:type="dxa"/>
          <w:right w:w="0" w:type="dxa"/>
        </w:tblCellMar>
      </w:tblPr>
      <w:tblGrid>
        <w:gridCol w:w="60"/>
        <w:gridCol w:w="245"/>
        <w:gridCol w:w="5465"/>
      </w:tblGrid>
      <w:tr>
        <w:tc>
          <w:tcPr>
            <w:tcW w:w="60" w:type="dxa"/>
            <w:tcBorders/>
            <w:vAlign w:val="center"/>
          </w:tcPr>
          <w:p>
            <w:pPr>
              <w:pStyle w:val="TableContents"/>
              <w:bidi w:val="0"/>
              <w:spacing w:before="0" w:after="283"/>
              <w:jc w:val="left"/>
            </w:pPr>
            <w:r>
              <w:t> </w:t>
            </w:r>
          </w:p>
        </w:tc>
        <w:tc>
          <w:tcPr>
            <w:tcW w:w="245" w:type="dxa"/>
            <w:tcBorders/>
            <w:vAlign w:val="center"/>
          </w:tcPr>
          <w:p>
            <w:pPr>
              <w:pStyle w:val="TableContents"/>
              <w:bidi w:val="0"/>
              <w:spacing w:before="0" w:after="0"/>
              <w:ind w:left="0" w:right="0" w:hanging="0"/>
              <w:jc w:val="left"/>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54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Calculated using incremental borrowing interest rate for each lease.</w:t>
            </w:r>
          </w:p>
        </w:tc>
      </w:tr>
    </w:tbl>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Debt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808" w:type="dxa"/>
        <w:jc w:val="left"/>
        <w:tblInd w:w="0" w:type="dxa"/>
        <w:tblLayout w:type="fixed"/>
        <w:tblCellMar>
          <w:top w:w="0" w:type="dxa"/>
          <w:left w:w="0" w:type="dxa"/>
          <w:bottom w:w="0" w:type="dxa"/>
          <w:right w:w="0" w:type="dxa"/>
        </w:tblCellMar>
      </w:tblPr>
      <w:tblGrid>
        <w:gridCol w:w="5180"/>
        <w:gridCol w:w="60"/>
        <w:gridCol w:w="207"/>
        <w:gridCol w:w="982"/>
        <w:gridCol w:w="80"/>
        <w:gridCol w:w="60"/>
        <w:gridCol w:w="199"/>
        <w:gridCol w:w="945"/>
        <w:gridCol w:w="95"/>
      </w:tblGrid>
      <w:tr>
        <w:tc>
          <w:tcPr>
            <w:tcW w:w="51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w:t>
            </w:r>
          </w:p>
        </w:tc>
        <w:tc>
          <w:tcPr>
            <w:tcW w:w="95" w:type="dxa"/>
            <w:tcBorders/>
            <w:shd w:fill="FFFFFF" w:val="clear"/>
            <w:vAlign w:val="center"/>
          </w:tcPr>
          <w:p>
            <w:pPr>
              <w:pStyle w:val="TableContents"/>
              <w:bidi w:val="0"/>
              <w:spacing w:before="0" w:after="283"/>
              <w:jc w:val="left"/>
            </w:pPr>
            <w:r>
              <w:t> </w:t>
            </w:r>
          </w:p>
        </w:tc>
      </w:tr>
      <w:tr>
        <w:tc>
          <w:tcPr>
            <w:tcW w:w="51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95" w:type="dxa"/>
            <w:tcBorders/>
            <w:shd w:fill="FFFFFF" w:val="clear"/>
            <w:vAlign w:val="center"/>
          </w:tcPr>
          <w:p>
            <w:pPr>
              <w:pStyle w:val="TableContents"/>
              <w:bidi w:val="0"/>
              <w:spacing w:before="0" w:after="283"/>
              <w:jc w:val="left"/>
            </w:pPr>
            <w:r>
              <w:t> </w:t>
            </w:r>
          </w:p>
        </w:tc>
      </w:tr>
      <w:tr>
        <w:tc>
          <w:tcPr>
            <w:tcW w:w="5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w:t>
            </w:r>
          </w:p>
        </w:tc>
        <w:tc>
          <w:tcPr>
            <w:tcW w:w="60" w:type="dxa"/>
            <w:tcBorders/>
            <w:shd w:fill="CCEEFF" w:val="clear"/>
            <w:vAlign w:val="center"/>
          </w:tcPr>
          <w:p>
            <w:pPr>
              <w:pStyle w:val="TableContents"/>
              <w:bidi w:val="0"/>
              <w:spacing w:before="0" w:after="283"/>
              <w:ind w:left="0" w:right="0" w:hanging="0"/>
              <w:jc w:val="left"/>
            </w:pPr>
            <w: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21,250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23,125</w:t>
            </w:r>
          </w:p>
        </w:tc>
        <w:tc>
          <w:tcPr>
            <w:tcW w:w="95" w:type="dxa"/>
            <w:tcBorders/>
            <w:shd w:fill="CCEEFF" w:val="clear"/>
            <w:vAlign w:val="center"/>
          </w:tcPr>
          <w:p>
            <w:pPr>
              <w:pStyle w:val="TableContents"/>
              <w:bidi w:val="0"/>
              <w:spacing w:before="0" w:after="283"/>
              <w:jc w:val="left"/>
            </w:pPr>
            <w:r>
              <w:t> </w:t>
            </w:r>
          </w:p>
        </w:tc>
      </w:tr>
      <w:tr>
        <w:tc>
          <w:tcPr>
            <w:tcW w:w="5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credit facility</w:t>
            </w:r>
          </w:p>
        </w:tc>
        <w:tc>
          <w:tcPr>
            <w:tcW w:w="60" w:type="dxa"/>
            <w:tcBorders/>
            <w:shd w:fill="FFFFFF" w:val="clear"/>
            <w:vAlign w:val="center"/>
          </w:tcPr>
          <w:p>
            <w:pPr>
              <w:pStyle w:val="TableContents"/>
              <w:bidi w:val="0"/>
              <w:spacing w:before="0" w:after="283"/>
              <w:jc w:val="left"/>
            </w:pPr>
            <w: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p>
        </w:tc>
        <w:tc>
          <w:tcPr>
            <w:tcW w:w="95" w:type="dxa"/>
            <w:tcBorders/>
            <w:shd w:fill="FFFFFF" w:val="clear"/>
            <w:vAlign w:val="center"/>
          </w:tcPr>
          <w:p>
            <w:pPr>
              <w:pStyle w:val="TableContents"/>
              <w:bidi w:val="0"/>
              <w:spacing w:before="0" w:after="283"/>
              <w:jc w:val="left"/>
            </w:pPr>
            <w:r>
              <w:t> </w:t>
            </w:r>
          </w:p>
        </w:tc>
      </w:tr>
      <w:tr>
        <w:tc>
          <w:tcPr>
            <w:tcW w:w="5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 (principal amount)</w:t>
            </w:r>
          </w:p>
        </w:tc>
        <w:tc>
          <w:tcPr>
            <w:tcW w:w="6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ind w:left="0" w:right="0" w:hanging="0"/>
              <w:jc w:val="left"/>
            </w:pPr>
            <w: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66,250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99" w:type="dxa"/>
            <w:tcBorders/>
            <w:shd w:fill="CCEEFF" w:val="clear"/>
            <w:vAlign w:val="center"/>
          </w:tcPr>
          <w:p>
            <w:pPr>
              <w:pStyle w:val="TableContents"/>
              <w:bidi w:val="0"/>
              <w:spacing w:before="0" w:after="283"/>
              <w:ind w:left="0" w:right="0" w:hanging="0"/>
              <w:jc w:val="left"/>
            </w:pPr>
            <w: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68,125</w:t>
            </w:r>
          </w:p>
        </w:tc>
        <w:tc>
          <w:tcPr>
            <w:tcW w:w="95" w:type="dxa"/>
            <w:tcBorders/>
            <w:shd w:fill="CCEEFF" w:val="clear"/>
            <w:vAlign w:val="center"/>
          </w:tcPr>
          <w:p>
            <w:pPr>
              <w:pStyle w:val="TableContents"/>
              <w:bidi w:val="0"/>
              <w:spacing w:before="0" w:after="283"/>
              <w:jc w:val="left"/>
            </w:pPr>
            <w:r>
              <w:t> </w:t>
            </w:r>
          </w:p>
        </w:tc>
      </w:tr>
      <w:tr>
        <w:tc>
          <w:tcPr>
            <w:tcW w:w="5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Unamortized debt discount and issuance costs</w:t>
            </w:r>
          </w:p>
        </w:tc>
        <w:tc>
          <w:tcPr>
            <w:tcW w:w="60" w:type="dxa"/>
            <w:tcBorders/>
            <w:shd w:fill="FFFFFF" w:val="clear"/>
            <w:vAlign w:val="center"/>
          </w:tcPr>
          <w:p>
            <w:pPr>
              <w:pStyle w:val="TableContents"/>
              <w:bidi w:val="0"/>
              <w:spacing w:before="0" w:after="283"/>
              <w:jc w:val="left"/>
            </w:pPr>
            <w: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 net of unamortized debt discount and issuance costs</w:t>
            </w:r>
          </w:p>
        </w:tc>
        <w:tc>
          <w:tcPr>
            <w:tcW w:w="60" w:type="dxa"/>
            <w:tcBorders/>
            <w:shd w:fill="CCEEFF" w:val="clear"/>
            <w:vAlign w:val="center"/>
          </w:tcPr>
          <w:p>
            <w:pPr>
              <w:pStyle w:val="TableContents"/>
              <w:bidi w:val="0"/>
              <w:spacing w:before="0" w:after="283"/>
              <w:ind w:left="0" w:right="0" w:hanging="0"/>
              <w:jc w:val="left"/>
            </w:pPr>
            <w: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65,333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66,999</w:t>
            </w:r>
          </w:p>
        </w:tc>
        <w:tc>
          <w:tcPr>
            <w:tcW w:w="95" w:type="dxa"/>
            <w:tcBorders/>
            <w:shd w:fill="CCEEFF" w:val="clear"/>
            <w:vAlign w:val="center"/>
          </w:tcPr>
          <w:p>
            <w:pPr>
              <w:pStyle w:val="TableContents"/>
              <w:bidi w:val="0"/>
              <w:spacing w:before="0" w:after="283"/>
              <w:jc w:val="left"/>
            </w:pPr>
            <w:r>
              <w:t> </w:t>
            </w:r>
          </w:p>
        </w:tc>
      </w:tr>
      <w:tr>
        <w:tc>
          <w:tcPr>
            <w:tcW w:w="51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Reported as:</w:t>
            </w:r>
          </w:p>
        </w:tc>
        <w:tc>
          <w:tcPr>
            <w:tcW w:w="60" w:type="dxa"/>
            <w:tcBorders/>
            <w:shd w:fill="FFFFFF" w:val="clear"/>
            <w:vAlign w:val="center"/>
          </w:tcPr>
          <w:p>
            <w:pPr>
              <w:pStyle w:val="TableContents"/>
              <w:bidi w:val="0"/>
              <w:spacing w:before="0" w:after="283"/>
              <w:jc w:val="left"/>
            </w:pPr>
            <w:r>
              <w:t> </w:t>
            </w:r>
          </w:p>
        </w:tc>
        <w:tc>
          <w:tcPr>
            <w:tcW w:w="207" w:type="dxa"/>
            <w:tcBorders/>
            <w:shd w:fill="FFFFFF" w:val="clear"/>
            <w:vAlign w:val="center"/>
          </w:tcPr>
          <w:p>
            <w:pPr>
              <w:pStyle w:val="TableContents"/>
              <w:bidi w:val="0"/>
              <w:spacing w:before="0" w:after="283"/>
              <w:jc w:val="left"/>
            </w:pPr>
            <w:r>
              <w:t> </w:t>
            </w:r>
          </w:p>
        </w:tc>
        <w:tc>
          <w:tcPr>
            <w:tcW w:w="982"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9" w:type="dxa"/>
            <w:tcBorders/>
            <w:shd w:fill="FFFFFF" w:val="clear"/>
            <w:vAlign w:val="center"/>
          </w:tcPr>
          <w:p>
            <w:pPr>
              <w:pStyle w:val="TableContents"/>
              <w:bidi w:val="0"/>
              <w:spacing w:before="0" w:after="283"/>
              <w:jc w:val="left"/>
            </w:pPr>
            <w:r>
              <w:t> </w:t>
            </w:r>
          </w:p>
        </w:tc>
        <w:tc>
          <w:tcPr>
            <w:tcW w:w="945"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r>
      <w:tr>
        <w:tc>
          <w:tcPr>
            <w:tcW w:w="51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 net</w:t>
            </w:r>
          </w:p>
        </w:tc>
        <w:tc>
          <w:tcPr>
            <w:tcW w:w="60" w:type="dxa"/>
            <w:tcBorders/>
            <w:shd w:fill="CCEEFF" w:val="clear"/>
            <w:vAlign w:val="center"/>
          </w:tcPr>
          <w:p>
            <w:pPr>
              <w:pStyle w:val="TableContents"/>
              <w:bidi w:val="0"/>
              <w:spacing w:before="0" w:after="283"/>
              <w:ind w:left="0" w:right="0" w:hanging="0"/>
              <w:jc w:val="left"/>
            </w:pPr>
            <w: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2,236</w:t>
            </w:r>
          </w:p>
        </w:tc>
        <w:tc>
          <w:tcPr>
            <w:tcW w:w="95" w:type="dxa"/>
            <w:tcBorders/>
            <w:shd w:fill="CCEEFF" w:val="clear"/>
            <w:vAlign w:val="center"/>
          </w:tcPr>
          <w:p>
            <w:pPr>
              <w:pStyle w:val="TableContents"/>
              <w:bidi w:val="0"/>
              <w:spacing w:before="0" w:after="283"/>
              <w:jc w:val="left"/>
            </w:pPr>
            <w:r>
              <w:t> </w:t>
            </w:r>
          </w:p>
        </w:tc>
      </w:tr>
      <w:tr>
        <w:tc>
          <w:tcPr>
            <w:tcW w:w="518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p>
        </w:tc>
        <w:tc>
          <w:tcPr>
            <w:tcW w:w="60" w:type="dxa"/>
            <w:tcBorders/>
            <w:shd w:fill="FFFFFF" w:val="clear"/>
            <w:vAlign w:val="center"/>
          </w:tcPr>
          <w:p>
            <w:pPr>
              <w:pStyle w:val="TableContents"/>
              <w:bidi w:val="0"/>
              <w:spacing w:before="0" w:after="283"/>
              <w:jc w:val="left"/>
            </w:pPr>
            <w: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63,096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64,763</w:t>
            </w:r>
          </w:p>
        </w:tc>
        <w:tc>
          <w:tcPr>
            <w:tcW w:w="95" w:type="dxa"/>
            <w:tcBorders/>
            <w:shd w:fill="FFFFFF" w:val="clear"/>
            <w:vAlign w:val="center"/>
          </w:tcPr>
          <w:p>
            <w:pPr>
              <w:pStyle w:val="TableContents"/>
              <w:bidi w:val="0"/>
              <w:spacing w:before="0" w:after="283"/>
              <w:jc w:val="left"/>
            </w:pPr>
            <w:r>
              <w:t> </w:t>
            </w:r>
          </w:p>
        </w:tc>
      </w:tr>
      <w:tr>
        <w:tc>
          <w:tcPr>
            <w:tcW w:w="5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 net</w:t>
            </w:r>
          </w:p>
        </w:tc>
        <w:tc>
          <w:tcPr>
            <w:tcW w:w="60" w:type="dxa"/>
            <w:tcBorders/>
            <w:shd w:fill="CCEEFF" w:val="clear"/>
            <w:vAlign w:val="center"/>
          </w:tcPr>
          <w:p>
            <w:pPr>
              <w:pStyle w:val="TableContents"/>
              <w:bidi w:val="0"/>
              <w:spacing w:before="0" w:after="283"/>
              <w:ind w:left="0" w:right="0" w:hanging="0"/>
              <w:jc w:val="left"/>
            </w:pPr>
            <w: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65,333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66,999</w:t>
            </w:r>
          </w:p>
        </w:tc>
        <w:tc>
          <w:tcPr>
            <w:tcW w:w="95"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7, 2025, </w:t>
      </w:r>
      <w:r>
        <w:rPr>
          <w:rFonts w:ascii="Times New Roman" w:hAnsi="Times New Roman"/>
          <w:caps w:val="false"/>
          <w:smallCaps w:val="false"/>
          <w:sz w:val="20"/>
        </w:rPr>
        <w:t xml:space="preserve">the Company entered into a Credit Agreement (the “Credit Agreement”) with the lenders who are party to the Credit Agreement and the lenders who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become a party to the Credit Agreement pursuant to the terms thereof (the “Lenders”) and Wells Fargo Bank, National Association, as administrative agent to the Lenders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Credit Agreement provides for (a) a revolving credit facility in an aggregate principal amount of $45.0 million (the “Revolving Credit Facility”) and (b) a term loan facility in an aggregate principal amount of $25.0 million (the “Term Loan” and together with the Revolving Credit Facility, the “Credit Facilities”).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principal of the Revolving Credit Facility is due as a balloon payment of $45.0 million in </w:t>
      </w:r>
      <w:r>
        <w:rPr>
          <w:rStyle w:val="Emphasis"/>
          <w:rFonts w:ascii="Times New Roman" w:hAnsi="Times New Roman"/>
          <w:caps w:val="false"/>
          <w:smallCaps w:val="false"/>
          <w:sz w:val="20"/>
        </w:rPr>
        <w:t xml:space="preserve">March 2030. </w:t>
      </w:r>
      <w:r>
        <w:rPr>
          <w:rFonts w:ascii="Times New Roman" w:hAnsi="Times New Roman"/>
          <w:caps w:val="false"/>
          <w:smallCaps w:val="false"/>
          <w:sz w:val="20"/>
        </w:rPr>
        <w:t xml:space="preserve">The principal of the Term Loan is due in the amount of $0.6 million quarterly and a balloon payment of $13.1 million in </w:t>
      </w:r>
      <w:r>
        <w:rPr>
          <w:rStyle w:val="Emphasis"/>
          <w:rFonts w:ascii="Times New Roman" w:hAnsi="Times New Roman"/>
          <w:caps w:val="false"/>
          <w:smallCaps w:val="false"/>
          <w:sz w:val="20"/>
        </w:rPr>
        <w:t>March 2030.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firstLine="360"/>
        <w:jc w:val="both"/>
      </w:pPr>
      <w:r>
        <w:rPr>
          <w:rFonts w:ascii="Times New Roman" w:hAnsi="Times New Roman"/>
          <w:caps w:val="false"/>
          <w:smallCaps w:val="false"/>
          <w:sz w:val="20"/>
        </w:rPr>
        <w:t>Borrowings under the Credit Facilities will accrue interest at rates equal, at the Company’s election, to (i) the alternate base rate, which is defined as the highest of (a) the federal funds effective rate in effect from time to time plus 0.50%, (b) the prime commercial lending rate in effect from time to time, and (c) the daily simple secured overnight financing rate (“SOFR”) plus 1.00% or (ii) SOFR, plus, in each case, the applicable margin. The applicable margin for the Revolving Credit Facility borrowings bearing interest at the alternate base rate ranges from 1.00% to 1.75%, and the applicable margin for Revolving Credit Facility borrowings bearing interest based on the SOFR ranges from 2.00% to 2.75%, in each case, based on the Company’s consolidated total net leverage ratio as of the most recently ended fiscal quarter. The applicable margin for Term Loan borrowings bearing interest at the alternate base rate ranges from 1.00% to 1.75%, and the applicable margin for Term Loan borrowings bearing interest based on the SOFR ranges from 2.00% to 2.75%, in each case, based on the Company’s consolidated total net leverage ratio as of the most recently ended fiscal quarter. The Revolving Credit Facility includes a payment of an annual commitment fee during the term of the Credit Agreement at a rate per annum equal to 0.50% for any undrawn amount, which was later amended in </w:t>
      </w:r>
      <w:r>
        <w:rPr>
          <w:rStyle w:val="Emphasis"/>
          <w:rFonts w:ascii="Times New Roman" w:hAnsi="Times New Roman"/>
          <w:caps w:val="false"/>
          <w:smallCaps w:val="false"/>
          <w:sz w:val="20"/>
        </w:rPr>
        <w:t xml:space="preserve"> April 2026 </w:t>
      </w:r>
      <w:r>
        <w:rPr>
          <w:rFonts w:ascii="Times New Roman" w:hAnsi="Times New Roman"/>
          <w:caps w:val="false"/>
          <w:smallCaps w:val="false"/>
          <w:sz w:val="20"/>
        </w:rPr>
        <w:t xml:space="preserve">to a leveraged-based adjustment to the annual Revolving Credit Facility commitment fee (see </w:t>
      </w:r>
      <w:r>
        <w:rPr>
          <w:rFonts w:ascii="Times New Roman" w:hAnsi="Times New Roman"/>
          <w:i/>
          <w:caps w:val="false"/>
          <w:smallCaps w:val="false"/>
          <w:sz w:val="20"/>
        </w:rPr>
        <w:t xml:space="preserve">First Amendment to Credit Agreement </w:t>
      </w:r>
      <w:r>
        <w:rPr>
          <w:rFonts w:ascii="Times New Roman" w:hAnsi="Times New Roman"/>
          <w:caps w:val="false"/>
          <w:smallCaps w:val="false"/>
          <w:sz w:val="20"/>
        </w:rPr>
        <w:t xml:space="preserve">section below). The Company’s weighted average annual interest rate on its outstanding debt was 6.0% and 6.5%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Credit Agreement contains customary representations and warranties, as well as customary affirmative and negative covenants. Negative covenants include, among others, restrictions on the incurrence of debt, the incurrence of liens, the making of investments and distributions, dividends, and stock buy-backs. In addition, the Credit Agreement requires that the Company maintain a consolidated total net leverage ratio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greater than 3.00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and a consolidated fixed charge coverage ratio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1.25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the Company was in compliance with the covenants contained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Credit Agreement contains customary events of default. Upon the occurrence and during the continuance of an event of default, the Agent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declare the outstanding advances and all other obligations under the Credit Agreement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obligations under the Credit Agreement are guaranteed by all present and future material domestic subsidiaries of the Company (collectively with the Company referred to herein as the “Credit Parties”), subject to customary exceptions, and are secured by the equity interests of the Credit Parties (other than the Company) and substantially all of the personal property owned by the Credit Parties, including </w:t>
      </w:r>
      <w:r>
        <w:rPr>
          <w:rStyle w:val="Emphasis"/>
          <w:rFonts w:ascii="Times New Roman" w:hAnsi="Times New Roman"/>
          <w:caps w:val="false"/>
          <w:smallCaps w:val="false"/>
          <w:sz w:val="20"/>
        </w:rPr>
        <w:t>65%</w:t>
      </w:r>
      <w:r>
        <w:rPr>
          <w:rFonts w:ascii="Times New Roman" w:hAnsi="Times New Roman"/>
          <w:caps w:val="false"/>
          <w:smallCaps w:val="false"/>
          <w:sz w:val="20"/>
        </w:rPr>
        <w:t xml:space="preserve"> of the equity interests of certain foreign subsidiaries owned by the Credit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used the amounts borrowed under the Credit Facilities to finance, in part, the purchase price paid for the acquisition of SecureWise (see Note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w:t>
      </w:r>
      <w:r>
        <w:rPr>
          <w:rFonts w:ascii="Times New Roman" w:hAnsi="Times New Roman"/>
          <w:i/>
          <w:caps w:val="false"/>
          <w:smallCaps w:val="false"/>
          <w:sz w:val="20"/>
        </w:rPr>
        <w:t>Business Combination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First Amendment to Credit Agreement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23, 2026, </w:t>
      </w:r>
      <w:r>
        <w:rPr>
          <w:rFonts w:ascii="Times New Roman" w:hAnsi="Times New Roman"/>
          <w:caps w:val="false"/>
          <w:smallCaps w:val="false"/>
          <w:sz w:val="20"/>
        </w:rPr>
        <w:t xml:space="preserve">the Company entered into a First Amendment to Credit Agreement (the “Amendment”) with the Lenders and the Agent to increase the Revolving Credit Facility to an aggregate principal amount of $75.0 million. The Amendment introduces leveraged-based adjustments to the annual Revolving Credit Facility commitment fee during the term of the Credit Agreement. Instead of a flat per annum rate of 0.50%, the Revolving Credit Facility commitment fee will be 0.50% when the total debt to earnings before interest, taxes, depreciation, and amortization (“EBITDA”) ratio (as defined in the Amendment) is greater than or equal to </w:t>
      </w:r>
      <w:r>
        <w:rPr>
          <w:rStyle w:val="Emphasis"/>
          <w:rFonts w:ascii="Times New Roman" w:hAnsi="Times New Roman"/>
          <w:caps w:val="false"/>
          <w:smallCaps w:val="false"/>
          <w:sz w:val="20"/>
        </w:rPr>
        <w:t>2.50</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0.35% when the total debt to EBITDA ratio is less than </w:t>
      </w:r>
      <w:r>
        <w:rPr>
          <w:rStyle w:val="Emphasis"/>
          <w:rFonts w:ascii="Times New Roman" w:hAnsi="Times New Roman"/>
          <w:caps w:val="false"/>
          <w:smallCaps w:val="false"/>
          <w:sz w:val="20"/>
        </w:rPr>
        <w:t>2.50</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but greater than or equal to </w:t>
      </w:r>
      <w:r>
        <w:rPr>
          <w:rStyle w:val="Emphasis"/>
          <w:rFonts w:ascii="Times New Roman" w:hAnsi="Times New Roman"/>
          <w:caps w:val="false"/>
          <w:smallCaps w:val="false"/>
          <w:sz w:val="20"/>
        </w:rPr>
        <w:t>0.50</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and 0.20% when the total debt to EBITDA ratio is less than </w:t>
      </w:r>
      <w:r>
        <w:rPr>
          <w:rStyle w:val="Emphasis"/>
          <w:rFonts w:ascii="Times New Roman" w:hAnsi="Times New Roman"/>
          <w:caps w:val="false"/>
          <w:smallCaps w:val="false"/>
          <w:sz w:val="20"/>
        </w:rPr>
        <w:t>0.50</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All other material terms of the Credit Agreement remain unchanged. Under this facility, $30.0 million is available to the Company for drawdown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Future Payments on Total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the estimated future principal payments of the total long-term debt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625" w:type="dxa"/>
        <w:jc w:val="left"/>
        <w:tblInd w:w="0" w:type="dxa"/>
        <w:tblLayout w:type="fixed"/>
        <w:tblCellMar>
          <w:top w:w="0" w:type="dxa"/>
          <w:left w:w="0" w:type="dxa"/>
          <w:bottom w:w="0" w:type="dxa"/>
          <w:right w:w="0" w:type="dxa"/>
        </w:tblCellMar>
      </w:tblPr>
      <w:tblGrid>
        <w:gridCol w:w="4775"/>
        <w:gridCol w:w="60"/>
        <w:gridCol w:w="125"/>
        <w:gridCol w:w="590"/>
        <w:gridCol w:w="75"/>
      </w:tblGrid>
      <w:t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 December 31,</w:t>
            </w:r>
          </w:p>
        </w:tc>
        <w:tc>
          <w:tcPr>
            <w:tcW w:w="60" w:type="dxa"/>
            <w:tcBorders/>
            <w:shd w:fill="FFFFFF" w:val="clear"/>
            <w:vAlign w:val="center"/>
          </w:tcPr>
          <w:p>
            <w:pPr>
              <w:pStyle w:val="TableContents"/>
              <w:bidi w:val="0"/>
              <w:spacing w:before="0" w:after="283"/>
              <w:ind w:left="0" w:right="0" w:hanging="0"/>
              <w:jc w:val="left"/>
            </w:pPr>
            <w: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Amount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(remaining three months)</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75" w:type="dxa"/>
            <w:tcBorders/>
            <w:shd w:fill="CCEEFF" w:val="clear"/>
            <w:vAlign w:val="center"/>
          </w:tcPr>
          <w:p>
            <w:pPr>
              <w:pStyle w:val="TableContents"/>
              <w:bidi w:val="0"/>
              <w:spacing w:before="0" w:after="283"/>
              <w:jc w:val="left"/>
            </w:pPr>
            <w:r>
              <w:t> </w:t>
            </w:r>
          </w:p>
        </w:tc>
      </w:tr>
      <w:t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w:t>
            </w:r>
          </w:p>
        </w:tc>
        <w:tc>
          <w:tcPr>
            <w:tcW w:w="75" w:type="dxa"/>
            <w:tcBorders/>
            <w:shd w:fill="FFFFFF" w:val="clear"/>
            <w:vAlign w:val="center"/>
          </w:tcPr>
          <w:p>
            <w:pPr>
              <w:pStyle w:val="TableContents"/>
              <w:bidi w:val="0"/>
              <w:spacing w:before="0" w:after="283"/>
              <w:jc w:val="left"/>
            </w:pPr>
            <w:r>
              <w:t> </w:t>
            </w:r>
          </w:p>
        </w:tc>
      </w:tr>
      <w:t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w:t>
            </w:r>
          </w:p>
        </w:tc>
        <w:tc>
          <w:tcPr>
            <w:tcW w:w="75" w:type="dxa"/>
            <w:tcBorders/>
            <w:shd w:fill="CCEEFF" w:val="clear"/>
            <w:vAlign w:val="center"/>
          </w:tcPr>
          <w:p>
            <w:pPr>
              <w:pStyle w:val="TableContents"/>
              <w:bidi w:val="0"/>
              <w:spacing w:before="0" w:after="283"/>
              <w:jc w:val="left"/>
            </w:pPr>
            <w:r>
              <w:t> </w:t>
            </w:r>
          </w:p>
        </w:tc>
      </w:tr>
      <w:t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w:t>
            </w:r>
          </w:p>
        </w:tc>
        <w:tc>
          <w:tcPr>
            <w:tcW w:w="75" w:type="dxa"/>
            <w:tcBorders/>
            <w:shd w:fill="FFFFFF" w:val="clear"/>
            <w:vAlign w:val="center"/>
          </w:tcPr>
          <w:p>
            <w:pPr>
              <w:pStyle w:val="TableContents"/>
              <w:bidi w:val="0"/>
              <w:spacing w:before="0" w:after="283"/>
              <w:jc w:val="left"/>
            </w:pPr>
            <w:r>
              <w:t> </w:t>
            </w:r>
          </w:p>
        </w:tc>
      </w:tr>
      <w:t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58,125</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future principal payments of debt (principal amount)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66,250</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 w:hAnsi="Times New Roman"/>
          <w:b/>
          <w:caps w:val="false"/>
          <w:smallCaps w:val="false"/>
          <w:sz w:val="20"/>
        </w:rPr>
        <w:t>6.</w:t>
      </w:r>
      <w:r>
        <w:rPr>
          <w:rFonts w:ascii="Times New Roman" w:hAnsi="Times New Roman"/>
          <w:caps w:val="false"/>
          <w:smallCaps w:val="false"/>
          <w:sz w:val="20"/>
        </w:rPr>
        <w:t xml:space="preserve"> </w:t>
      </w:r>
      <w:r>
        <w:rPr>
          <w:rFonts w:ascii="Times New Roman" w:hAnsi="Times New Roman"/>
          <w:b/>
          <w:caps w:val="false"/>
          <w:smallCaps w:val="false"/>
          <w:sz w:val="20"/>
        </w:rPr>
        <w:t>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15, 2024, </w:t>
      </w:r>
      <w:r>
        <w:rPr>
          <w:rFonts w:ascii="Times New Roman" w:hAnsi="Times New Roman"/>
          <w:caps w:val="false"/>
          <w:smallCaps w:val="false"/>
          <w:sz w:val="20"/>
        </w:rPr>
        <w:t xml:space="preserve">the Board of Directors adopted a stock repurchase program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Program”) to repurchase up to $40.0 million of the Company’s common stock both on the open market and in privately negotiated transactions, including through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plans, from time to time, over the next two years from the adoption date. The Company repurchased a total of 12,500 shares under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Program at an average price of $19.55 per share for an aggregate total price of $0.2 million.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Program expired on </w:t>
      </w:r>
      <w:r>
        <w:rPr>
          <w:rStyle w:val="Emphasis"/>
          <w:rFonts w:ascii="Times New Roman" w:hAnsi="Times New Roman"/>
          <w:caps w:val="false"/>
          <w:smallCaps w:val="false"/>
          <w:sz w:val="20"/>
        </w:rPr>
        <w:t>April 14,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May 2026,</w:t>
      </w:r>
      <w:r>
        <w:rPr>
          <w:rFonts w:ascii="Times New Roman" w:hAnsi="Times New Roman"/>
          <w:caps w:val="false"/>
          <w:smallCaps w:val="false"/>
          <w:sz w:val="20"/>
        </w:rPr>
        <w:t xml:space="preserve"> the Board of Directors adopted a new stock repurchase program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Program”) to repurchase up to $50.0 million of the Company’s common stock both on the open market and in privately negotiated transactions, including through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plans, from time to time, over the next two years from the adoption date.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$50.0 million remained available under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Secondary Offering</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May 13,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 entered into an underwriting agreement with Morgan Stanley &amp; Co. LLC, as representative of the several underwriters named therein (collectively, the “Underwriters”), and Advantest America, Inc. (the “Selling Stockholder”) in connection with (i) the offering, issuance and sale by the Company of 1,946,630 shares of the Company’s common stock, $0.00015 par value per share, including 685,246 shares sold pursuant to the Underwriters’ full exercise of their option to purchase additional shares, and (ii) the offering and sale by the Selling Stockholder of 3,306,924 shares of the Company’s common stock, at an offering price of $44.00 per share, less underwriting discounts and commissions (collectively, the “Offering”). The Offering closed on </w:t>
      </w:r>
      <w:r>
        <w:rPr>
          <w:rStyle w:val="Emphasis"/>
          <w:rFonts w:ascii="Times New Roman" w:hAnsi="Times New Roman"/>
          <w:caps w:val="false"/>
          <w:smallCaps w:val="false"/>
          <w:sz w:val="20"/>
        </w:rPr>
        <w:t>May 15,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Offering was made pursuant to an effective shelf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filed with the SEC. The net proceeds to the Company from the sale of shares of newly issued common stock were approximately $81.8 million, after deducting $3.9 million of underwriting discounts and commissions. The Company did not receive any proceeds from the sale of shares by the Selling Stockholder.</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EMPLOYEE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Stock-based compensation expense related to stock awards (including stock options, RSUs, PSUs, and ESPP) is measured based on the fair value of the awards granted and recognized as an expense over the requisite service period</w:t>
      </w:r>
      <w:r>
        <w:rPr>
          <w:rFonts w:ascii="Times New Roman" w:hAnsi="Times New Roman"/>
          <w:i/>
          <w:caps w:val="false"/>
          <w:smallCaps w:val="false"/>
          <w:sz w:val="20"/>
        </w:rPr>
        <w:t>.</w:t>
      </w:r>
      <w:r>
        <w:rPr>
          <w:rFonts w:ascii="Times New Roman" w:hAnsi="Times New Roman"/>
          <w:caps w:val="false"/>
          <w:smallCaps w:val="false"/>
          <w:sz w:val="20"/>
        </w:rPr>
        <w:t xml:space="preserve"> Stock-based compensation expense before taxes related to the Company’s stock incentive plan and employee stock purchase plan was allocated as follows (in thousands):</w:t>
      </w:r>
    </w:p>
    <w:p>
      <w:pPr>
        <w:pStyle w:val="TextBody"/>
        <w:bidi w:val="0"/>
        <w:spacing w:before="0" w:after="0"/>
        <w:ind w:left="0" w:right="0" w:hanging="0"/>
        <w:jc w:val="left"/>
        <w:rPr>
          <w:caps w:val="false"/>
          <w:smallCaps w:val="false"/>
        </w:rPr>
      </w:pPr>
      <w:r>
        <w:rPr>
          <w:caps w:val="false"/>
          <w:smallCaps w:val="false"/>
        </w:rPr>
        <w:t> </w:t>
      </w:r>
    </w:p>
    <w:tbl>
      <w:tblPr>
        <w:tblW w:w="9474" w:type="dxa"/>
        <w:jc w:val="left"/>
        <w:tblInd w:w="0" w:type="dxa"/>
        <w:tblLayout w:type="fixed"/>
        <w:tblCellMar>
          <w:top w:w="0" w:type="dxa"/>
          <w:left w:w="0" w:type="dxa"/>
          <w:bottom w:w="0" w:type="dxa"/>
          <w:right w:w="0" w:type="dxa"/>
        </w:tblCellMar>
      </w:tblPr>
      <w:tblGrid>
        <w:gridCol w:w="3365"/>
        <w:gridCol w:w="60"/>
        <w:gridCol w:w="277"/>
        <w:gridCol w:w="1076"/>
        <w:gridCol w:w="133"/>
        <w:gridCol w:w="133"/>
        <w:gridCol w:w="277"/>
        <w:gridCol w:w="1076"/>
        <w:gridCol w:w="60"/>
        <w:gridCol w:w="60"/>
        <w:gridCol w:w="232"/>
        <w:gridCol w:w="1098"/>
        <w:gridCol w:w="111"/>
        <w:gridCol w:w="111"/>
        <w:gridCol w:w="232"/>
        <w:gridCol w:w="1098"/>
        <w:gridCol w:w="75"/>
      </w:tblGrid>
      <w:tr>
        <w:tc>
          <w:tcPr>
            <w:tcW w:w="336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36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33"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13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11"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1" w:type="dxa"/>
            <w:tcBorders/>
            <w:shd w:fill="FFFFFF" w:val="clear"/>
            <w:vAlign w:val="center"/>
          </w:tcPr>
          <w:p>
            <w:pPr>
              <w:pStyle w:val="TableContents"/>
              <w:bidi w:val="0"/>
              <w:spacing w:before="0" w:after="283"/>
              <w:ind w:left="0" w:right="0" w:hanging="0"/>
              <w:jc w:val="left"/>
            </w:pPr>
            <w:r>
              <w:t> </w:t>
            </w:r>
          </w:p>
        </w:tc>
        <w:tc>
          <w:tcPr>
            <w:tcW w:w="13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of revenues</w:t>
            </w:r>
          </w:p>
        </w:tc>
        <w:tc>
          <w:tcPr>
            <w:tcW w:w="60" w:type="dxa"/>
            <w:tcBorders/>
            <w:shd w:fill="CCEEFF" w:val="clear"/>
            <w:vAlign w:val="center"/>
          </w:tcPr>
          <w:p>
            <w:pPr>
              <w:pStyle w:val="TableContents"/>
              <w:bidi w:val="0"/>
              <w:spacing w:before="0" w:after="283"/>
              <w:ind w:left="0" w:right="0" w:hanging="0"/>
              <w:jc w:val="left"/>
            </w:pPr>
            <w: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w:t>
            </w:r>
          </w:p>
        </w:tc>
        <w:tc>
          <w:tcPr>
            <w:tcW w:w="133"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ind w:left="0" w:right="0" w:hanging="0"/>
              <w:jc w:val="left"/>
            </w:pPr>
            <w: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4,130</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ind w:left="0" w:right="0" w:hanging="0"/>
              <w:jc w:val="left"/>
            </w:pPr>
            <w:r>
              <w:t> </w:t>
            </w:r>
          </w:p>
        </w:tc>
        <w:tc>
          <w:tcPr>
            <w:tcW w:w="2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3,873</w:t>
            </w:r>
          </w:p>
        </w:tc>
        <w:tc>
          <w:tcPr>
            <w:tcW w:w="75" w:type="dxa"/>
            <w:tcBorders/>
            <w:shd w:fill="CCEEFF" w:val="clear"/>
            <w:vAlign w:val="center"/>
          </w:tcPr>
          <w:p>
            <w:pPr>
              <w:pStyle w:val="TableContents"/>
              <w:bidi w:val="0"/>
              <w:spacing w:before="0" w:after="283"/>
              <w:jc w:val="left"/>
            </w:pPr>
            <w:r>
              <w:t> </w:t>
            </w:r>
          </w:p>
        </w:tc>
      </w:tr>
      <w:t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pPr>
            <w:r>
              <w:t> </w:t>
            </w:r>
          </w:p>
        </w:tc>
        <w:tc>
          <w:tcPr>
            <w:tcW w:w="277" w:type="dxa"/>
            <w:tcBorders/>
            <w:shd w:fill="FFFFFF" w:val="clear"/>
            <w:vAlign w:val="center"/>
          </w:tcPr>
          <w:p>
            <w:pPr>
              <w:pStyle w:val="TableContents"/>
              <w:bidi w:val="0"/>
              <w:spacing w:before="0" w:after="283"/>
              <w:ind w:left="0" w:right="0" w:hanging="0"/>
              <w:jc w:val="left"/>
            </w:pPr>
            <w:r>
              <w:t> </w:t>
            </w:r>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3,173</w:t>
            </w:r>
          </w:p>
        </w:tc>
        <w:tc>
          <w:tcPr>
            <w:tcW w:w="133"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jc w:val="left"/>
            </w:pPr>
            <w:r>
              <w:t> </w:t>
            </w:r>
          </w:p>
        </w:tc>
        <w:tc>
          <w:tcPr>
            <w:tcW w:w="277" w:type="dxa"/>
            <w:tcBorders/>
            <w:shd w:fill="FFFFFF" w:val="clear"/>
            <w:vAlign w:val="center"/>
          </w:tcPr>
          <w:p>
            <w:pPr>
              <w:pStyle w:val="TableContents"/>
              <w:bidi w:val="0"/>
              <w:spacing w:before="0" w:after="283"/>
              <w:ind w:left="0" w:right="0" w:hanging="0"/>
              <w:jc w:val="left"/>
            </w:pPr>
            <w:r>
              <w:t> </w:t>
            </w:r>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2" w:type="dxa"/>
            <w:tcBorders/>
            <w:shd w:fill="FFFFFF" w:val="clear"/>
            <w:vAlign w:val="center"/>
          </w:tcPr>
          <w:p>
            <w:pPr>
              <w:pStyle w:val="TableContents"/>
              <w:bidi w:val="0"/>
              <w:spacing w:before="0" w:after="283"/>
              <w:ind w:left="0" w:right="0" w:hanging="0"/>
              <w:jc w:val="left"/>
            </w:pPr>
            <w:r>
              <w:t> </w:t>
            </w:r>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7,734</w:t>
            </w:r>
          </w:p>
        </w:tc>
        <w:tc>
          <w:tcPr>
            <w:tcW w:w="111" w:type="dxa"/>
            <w:tcBorders/>
            <w:shd w:fill="FFFFFF" w:val="clear"/>
            <w:vAlign w:val="center"/>
          </w:tcPr>
          <w:p>
            <w:pPr>
              <w:pStyle w:val="TableContents"/>
              <w:bidi w:val="0"/>
              <w:spacing w:before="0" w:after="283"/>
              <w:jc w:val="left"/>
            </w:pPr>
            <w:r>
              <w:t> </w:t>
            </w:r>
          </w:p>
        </w:tc>
        <w:tc>
          <w:tcPr>
            <w:tcW w:w="111" w:type="dxa"/>
            <w:tcBorders/>
            <w:shd w:fill="FFFFFF" w:val="clear"/>
            <w:vAlign w:val="center"/>
          </w:tcPr>
          <w:p>
            <w:pPr>
              <w:pStyle w:val="TableContents"/>
              <w:bidi w:val="0"/>
              <w:spacing w:before="0" w:after="283"/>
              <w:jc w:val="left"/>
            </w:pPr>
            <w:r>
              <w:t> </w:t>
            </w:r>
          </w:p>
        </w:tc>
        <w:tc>
          <w:tcPr>
            <w:tcW w:w="232" w:type="dxa"/>
            <w:tcBorders/>
            <w:shd w:fill="FFFFFF" w:val="clear"/>
            <w:vAlign w:val="center"/>
          </w:tcPr>
          <w:p>
            <w:pPr>
              <w:pStyle w:val="TableContents"/>
              <w:bidi w:val="0"/>
              <w:spacing w:before="0" w:after="283"/>
              <w:ind w:left="0" w:right="0" w:hanging="0"/>
              <w:jc w:val="left"/>
            </w:pPr>
            <w:r>
              <w:t> </w:t>
            </w:r>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6,874</w:t>
            </w:r>
          </w:p>
        </w:tc>
        <w:tc>
          <w:tcPr>
            <w:tcW w:w="75" w:type="dxa"/>
            <w:tcBorders/>
            <w:shd w:fill="FFFFFF" w:val="clear"/>
            <w:vAlign w:val="center"/>
          </w:tcPr>
          <w:p>
            <w:pPr>
              <w:pStyle w:val="TableContents"/>
              <w:bidi w:val="0"/>
              <w:spacing w:before="0" w:after="283"/>
              <w:jc w:val="left"/>
            </w:pPr>
            <w:r>
              <w:t> </w:t>
            </w:r>
          </w:p>
        </w:tc>
      </w:tr>
      <w:t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pPr>
            <w:r>
              <w:t> </w:t>
            </w:r>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3,706</w:t>
            </w:r>
          </w:p>
        </w:tc>
        <w:tc>
          <w:tcPr>
            <w:tcW w:w="133"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jc w:val="left"/>
            </w:pPr>
            <w:r>
              <w:t> </w:t>
            </w:r>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9,002</w:t>
            </w:r>
          </w:p>
        </w:tc>
        <w:tc>
          <w:tcPr>
            <w:tcW w:w="111"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jc w:val="left"/>
            </w:pPr>
            <w:r>
              <w:t> </w:t>
            </w:r>
          </w:p>
        </w:tc>
        <w:tc>
          <w:tcPr>
            <w:tcW w:w="2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8,312</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FFFFFF" w:val="clear"/>
            <w:vAlign w:val="center"/>
          </w:tcPr>
          <w:p>
            <w:pPr>
              <w:pStyle w:val="TableContents"/>
              <w:bidi w:val="0"/>
              <w:spacing w:before="0" w:after="283"/>
              <w:ind w:left="0" w:right="0" w:hanging="0"/>
              <w:jc w:val="left"/>
            </w:pPr>
            <w: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8,472</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20,866</w:t>
            </w:r>
          </w:p>
        </w:tc>
        <w:tc>
          <w:tcPr>
            <w:tcW w:w="111"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11" w:type="dxa"/>
            <w:tcBorders/>
            <w:shd w:fill="FFFFFF" w:val="clear"/>
            <w:vAlign w:val="center"/>
          </w:tcPr>
          <w:p>
            <w:pPr>
              <w:pStyle w:val="TableContents"/>
              <w:bidi w:val="0"/>
              <w:spacing w:before="0" w:after="283"/>
              <w:ind w:left="0" w:right="0" w:hanging="0"/>
              <w:jc w:val="left"/>
            </w:pPr>
            <w:r>
              <w:t> </w:t>
            </w:r>
          </w:p>
        </w:tc>
        <w:tc>
          <w:tcPr>
            <w:tcW w:w="2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19,059</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November 16,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the Company’s stockholders initially approved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Stock Incentive Plan, which has been amended and restated by the Board of Directors and approved by the Company’s stockholders a number of times since then (as amended through the date of this report,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The most recent amendment, approved by the Company’s Board of Directors on </w:t>
      </w:r>
      <w:r>
        <w:rPr>
          <w:rStyle w:val="Emphasis"/>
          <w:rFonts w:ascii="Times New Roman" w:hAnsi="Times New Roman"/>
          <w:caps w:val="false"/>
          <w:smallCaps w:val="false"/>
          <w:sz w:val="20"/>
        </w:rPr>
        <w:t>April 23, 2026, </w:t>
      </w:r>
      <w:r>
        <w:rPr>
          <w:rFonts w:ascii="Times New Roman" w:hAnsi="Times New Roman"/>
          <w:caps w:val="false"/>
          <w:smallCaps w:val="false"/>
          <w:sz w:val="20"/>
        </w:rPr>
        <w:t xml:space="preserve">and the stockholders on </w:t>
      </w:r>
      <w:r>
        <w:rPr>
          <w:rStyle w:val="Emphasis"/>
          <w:rFonts w:ascii="Times New Roman" w:hAnsi="Times New Roman"/>
          <w:caps w:val="false"/>
          <w:smallCaps w:val="false"/>
          <w:sz w:val="20"/>
        </w:rPr>
        <w:t>June 16, 2026, </w:t>
      </w:r>
      <w:r>
        <w:rPr>
          <w:rFonts w:ascii="Times New Roman" w:hAnsi="Times New Roman"/>
          <w:caps w:val="false"/>
          <w:smallCaps w:val="false"/>
          <w:sz w:val="20"/>
        </w:rPr>
        <w:t xml:space="preserve">increased the number of shares reserved for issuance under such plan by an additional 0.8 million shares, to a total of 16.7 million shares, and extended the deadline to grant incentive stock options to </w:t>
      </w:r>
      <w:r>
        <w:rPr>
          <w:rStyle w:val="Emphasis"/>
          <w:rFonts w:ascii="Times New Roman" w:hAnsi="Times New Roman"/>
          <w:caps w:val="false"/>
          <w:smallCaps w:val="false"/>
          <w:sz w:val="20"/>
        </w:rPr>
        <w:t xml:space="preserve">April 23, 2036.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3.0 million shares were available for future grant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firstLine="360"/>
        <w:jc w:val="left"/>
        <w:rPr>
          <w:rFonts w:ascii="Times New Roman" w:hAnsi="Times New Roman"/>
          <w:b/>
          <w:i/>
          <w:caps w:val="false"/>
          <w:smallCaps w:val="false"/>
          <w:sz w:val="20"/>
        </w:rPr>
      </w:pPr>
      <w:r>
        <w:rPr>
          <w:rFonts w:ascii="Times New Roman" w:hAnsi="Times New Roman"/>
          <w:b/>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RSU activity and related information were as follows:</w:t>
      </w:r>
    </w:p>
    <w:tbl>
      <w:tblPr>
        <w:tblW w:w="5448" w:type="dxa"/>
        <w:jc w:val="left"/>
        <w:tblInd w:w="0" w:type="dxa"/>
        <w:tblLayout w:type="fixed"/>
        <w:tblCellMar>
          <w:top w:w="0" w:type="dxa"/>
          <w:left w:w="0" w:type="dxa"/>
          <w:bottom w:w="0" w:type="dxa"/>
          <w:right w:w="0" w:type="dxa"/>
        </w:tblCellMar>
      </w:tblPr>
      <w:tblGrid>
        <w:gridCol w:w="2615"/>
        <w:gridCol w:w="60"/>
        <w:gridCol w:w="130"/>
        <w:gridCol w:w="1059"/>
        <w:gridCol w:w="80"/>
        <w:gridCol w:w="60"/>
        <w:gridCol w:w="280"/>
        <w:gridCol w:w="1089"/>
        <w:gridCol w:w="75"/>
      </w:tblGrid>
      <w:tr>
        <w:tc>
          <w:tcPr>
            <w:tcW w:w="26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1059"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6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Weighted</w:t>
            </w:r>
          </w:p>
        </w:tc>
        <w:tc>
          <w:tcPr>
            <w:tcW w:w="75" w:type="dxa"/>
            <w:tcBorders/>
            <w:shd w:fill="FFFFFF" w:val="clear"/>
            <w:vAlign w:val="center"/>
          </w:tcPr>
          <w:p>
            <w:pPr>
              <w:pStyle w:val="TableContents"/>
              <w:bidi w:val="0"/>
              <w:spacing w:before="0" w:after="283"/>
              <w:jc w:val="left"/>
            </w:pPr>
            <w:r>
              <w:t> </w:t>
            </w:r>
          </w:p>
        </w:tc>
      </w:tr>
      <w:tr>
        <w:tc>
          <w:tcPr>
            <w:tcW w:w="26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jc w:val="left"/>
            </w:pPr>
            <w:r>
              <w:t> </w:t>
            </w:r>
          </w:p>
        </w:tc>
        <w:tc>
          <w:tcPr>
            <w:tcW w:w="1059"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6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Average Grant</w:t>
            </w:r>
          </w:p>
        </w:tc>
        <w:tc>
          <w:tcPr>
            <w:tcW w:w="75" w:type="dxa"/>
            <w:tcBorders/>
            <w:shd w:fill="FFFFFF" w:val="clear"/>
            <w:vAlign w:val="center"/>
          </w:tcPr>
          <w:p>
            <w:pPr>
              <w:pStyle w:val="TableContents"/>
              <w:bidi w:val="0"/>
              <w:spacing w:before="0" w:after="283"/>
              <w:jc w:val="left"/>
            </w:pPr>
            <w:r>
              <w:t> </w:t>
            </w:r>
          </w:p>
        </w:tc>
      </w:tr>
      <w:tr>
        <w:tc>
          <w:tcPr>
            <w:tcW w:w="26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6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Date Fair Value</w:t>
            </w:r>
          </w:p>
        </w:tc>
        <w:tc>
          <w:tcPr>
            <w:tcW w:w="75" w:type="dxa"/>
            <w:tcBorders/>
            <w:shd w:fill="FFFFFF" w:val="clear"/>
            <w:vAlign w:val="center"/>
          </w:tcPr>
          <w:p>
            <w:pPr>
              <w:pStyle w:val="TableContents"/>
              <w:bidi w:val="0"/>
              <w:spacing w:before="0" w:after="283"/>
              <w:jc w:val="left"/>
            </w:pPr>
            <w:r>
              <w:t> </w:t>
            </w:r>
          </w:p>
        </w:tc>
      </w:tr>
      <w:tr>
        <w:tc>
          <w:tcPr>
            <w:tcW w:w="26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(in thousands)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Per Share</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January 1, 2026</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ind w:left="0" w:right="0" w:hanging="0"/>
              <w:jc w:val="left"/>
            </w:pPr>
            <w: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29.08</w:t>
            </w:r>
          </w:p>
        </w:tc>
        <w:tc>
          <w:tcPr>
            <w:tcW w:w="75" w:type="dxa"/>
            <w:tcBorders/>
            <w:shd w:fill="CCEEFF" w:val="clear"/>
            <w:vAlign w:val="center"/>
          </w:tcPr>
          <w:p>
            <w:pPr>
              <w:pStyle w:val="TableContents"/>
              <w:bidi w:val="0"/>
              <w:spacing w:before="0" w:after="283"/>
              <w:jc w:val="left"/>
            </w:pPr>
            <w:r>
              <w:t> </w:t>
            </w:r>
          </w:p>
        </w:tc>
      </w:tr>
      <w:tr>
        <w:tc>
          <w:tcPr>
            <w:tcW w:w="26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pPr>
            <w:r>
              <w:t> </w:t>
            </w:r>
          </w:p>
        </w:tc>
        <w:tc>
          <w:tcPr>
            <w:tcW w:w="130" w:type="dxa"/>
            <w:tcBorders/>
            <w:shd w:fill="FFFFFF" w:val="clear"/>
            <w:vAlign w:val="center"/>
          </w:tcPr>
          <w:p>
            <w:pPr>
              <w:pStyle w:val="TableContents"/>
              <w:bidi w:val="0"/>
              <w:spacing w:before="0" w:after="283"/>
              <w:ind w:left="0" w:right="0" w:hanging="0"/>
              <w:jc w:val="left"/>
            </w:pPr>
            <w: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80" w:type="dxa"/>
            <w:tcBorders/>
            <w:shd w:fill="FFFFFF" w:val="clear"/>
            <w:vAlign w:val="center"/>
          </w:tcPr>
          <w:p>
            <w:pPr>
              <w:pStyle w:val="TableContents"/>
              <w:bidi w:val="0"/>
              <w:spacing w:before="0" w:after="283"/>
              <w:ind w:left="0" w:right="0" w:hanging="0"/>
              <w:jc w:val="left"/>
            </w:pPr>
            <w:r>
              <w:t> </w:t>
            </w:r>
          </w:p>
        </w:tc>
        <w:tc>
          <w:tcPr>
            <w:tcW w:w="10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64.11</w:t>
            </w:r>
          </w:p>
        </w:tc>
        <w:tc>
          <w:tcPr>
            <w:tcW w:w="75" w:type="dxa"/>
            <w:tcBorders/>
            <w:shd w:fill="FFFFFF" w:val="clear"/>
            <w:vAlign w:val="center"/>
          </w:tcPr>
          <w:p>
            <w:pPr>
              <w:pStyle w:val="TableContents"/>
              <w:bidi w:val="0"/>
              <w:spacing w:before="0" w:after="283"/>
              <w:jc w:val="left"/>
            </w:pPr>
            <w:r>
              <w:t> </w:t>
            </w:r>
          </w:p>
        </w:tc>
      </w:tr>
      <w:tr>
        <w:tc>
          <w:tcPr>
            <w:tcW w:w="26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pPr>
            <w:r>
              <w:t> </w:t>
            </w:r>
          </w:p>
        </w:tc>
        <w:tc>
          <w:tcPr>
            <w:tcW w:w="130" w:type="dxa"/>
            <w:tcBorders/>
            <w:shd w:fill="CCEEFF" w:val="clear"/>
            <w:vAlign w:val="center"/>
          </w:tcPr>
          <w:p>
            <w:pPr>
              <w:pStyle w:val="TableContents"/>
              <w:bidi w:val="0"/>
              <w:spacing w:before="0" w:after="283"/>
              <w:ind w:left="0" w:right="0" w:hanging="0"/>
              <w:jc w:val="left"/>
            </w:pPr>
            <w: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80" w:type="dxa"/>
            <w:tcBorders/>
            <w:shd w:fill="CCEEFF" w:val="clear"/>
            <w:vAlign w:val="center"/>
          </w:tcPr>
          <w:p>
            <w:pPr>
              <w:pStyle w:val="TableContents"/>
              <w:bidi w:val="0"/>
              <w:spacing w:before="0" w:after="283"/>
              <w:ind w:left="0" w:right="0" w:hanging="0"/>
              <w:jc w:val="left"/>
            </w:pPr>
            <w:r>
              <w:t> </w:t>
            </w:r>
          </w:p>
        </w:tc>
        <w:tc>
          <w:tcPr>
            <w:tcW w:w="10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29.44</w:t>
            </w:r>
          </w:p>
        </w:tc>
        <w:tc>
          <w:tcPr>
            <w:tcW w:w="75" w:type="dxa"/>
            <w:tcBorders/>
            <w:shd w:fill="CCEEFF" w:val="clear"/>
            <w:vAlign w:val="center"/>
          </w:tcPr>
          <w:p>
            <w:pPr>
              <w:pStyle w:val="TableContents"/>
              <w:bidi w:val="0"/>
              <w:spacing w:before="0" w:after="283"/>
              <w:jc w:val="left"/>
            </w:pPr>
            <w:r>
              <w:t> </w:t>
            </w:r>
          </w:p>
        </w:tc>
      </w:tr>
      <w:tr>
        <w:tc>
          <w:tcPr>
            <w:tcW w:w="26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pPr>
            <w: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80" w:type="dxa"/>
            <w:tcBorders/>
            <w:shd w:fill="FFFFFF" w:val="clear"/>
            <w:vAlign w:val="center"/>
          </w:tcPr>
          <w:p>
            <w:pPr>
              <w:pStyle w:val="TableContents"/>
              <w:bidi w:val="0"/>
              <w:spacing w:before="0" w:after="283"/>
              <w:ind w:left="0" w:right="0" w:hanging="0"/>
              <w:jc w:val="left"/>
            </w:pPr>
            <w:r>
              <w:t> </w:t>
            </w:r>
          </w:p>
        </w:tc>
        <w:tc>
          <w:tcPr>
            <w:tcW w:w="10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34.65</w:t>
            </w:r>
          </w:p>
        </w:tc>
        <w:tc>
          <w:tcPr>
            <w:tcW w:w="75" w:type="dxa"/>
            <w:tcBorders/>
            <w:shd w:fill="FFFFFF" w:val="clear"/>
            <w:vAlign w:val="center"/>
          </w:tcPr>
          <w:p>
            <w:pPr>
              <w:pStyle w:val="TableContents"/>
              <w:bidi w:val="0"/>
              <w:spacing w:before="0" w:after="283"/>
              <w:jc w:val="left"/>
            </w:pPr>
            <w:r>
              <w:t> </w:t>
            </w:r>
          </w:p>
        </w:tc>
      </w:tr>
      <w:t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September 30, 2026</w:t>
            </w:r>
          </w:p>
        </w:tc>
        <w:tc>
          <w:tcPr>
            <w:tcW w:w="60" w:type="dxa"/>
            <w:tcBorders/>
            <w:shd w:fill="CCEEFF" w:val="clear"/>
            <w:vAlign w:val="center"/>
          </w:tcPr>
          <w:p>
            <w:pPr>
              <w:pStyle w:val="TableContents"/>
              <w:bidi w:val="0"/>
              <w:spacing w:before="0" w:after="283"/>
              <w:jc w:val="left"/>
            </w:pPr>
            <w: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42.14</w:t>
            </w:r>
          </w:p>
        </w:tc>
        <w:tc>
          <w:tcPr>
            <w:tcW w:w="75"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pPr>
      <w:r>
        <w:rPr>
          <w:rFonts w:ascii="Times New Roman" w:hAnsi="Times New Roman"/>
          <w:caps w:val="false"/>
          <w:smallCaps w:val="false"/>
          <w:sz w:val="20"/>
        </w:rPr>
        <w:t xml:space="preserve">Stock-based compensation related to RSUs is estimated at the grant date based on the award’s fair value and is recognized on a straight-line basis over the vesting periods, generally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years.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there was $65.7 million of total unrecognized compensation cost related unvested RSUs which is expected to be recognized over a remaining weighted average period of 1.5 years. Additional information related to RSUs is as follows:</w:t>
      </w:r>
    </w:p>
    <w:p>
      <w:pPr>
        <w:pStyle w:val="TextBody"/>
        <w:bidi w:val="0"/>
        <w:spacing w:before="0" w:after="0"/>
        <w:ind w:left="0" w:right="0" w:hanging="0"/>
        <w:jc w:val="left"/>
        <w:rPr>
          <w:caps w:val="false"/>
          <w:smallCaps w:val="false"/>
        </w:rPr>
      </w:pPr>
      <w:r>
        <w:rPr>
          <w:caps w:val="false"/>
          <w:smallCaps w:val="false"/>
        </w:rPr>
        <w:t> </w:t>
      </w:r>
    </w:p>
    <w:tbl>
      <w:tblPr>
        <w:tblW w:w="8002" w:type="dxa"/>
        <w:jc w:val="left"/>
        <w:tblInd w:w="0" w:type="dxa"/>
        <w:tblLayout w:type="fixed"/>
        <w:tblCellMar>
          <w:top w:w="0" w:type="dxa"/>
          <w:left w:w="0" w:type="dxa"/>
          <w:bottom w:w="0" w:type="dxa"/>
          <w:right w:w="0" w:type="dxa"/>
        </w:tblCellMar>
      </w:tblPr>
      <w:tblGrid>
        <w:gridCol w:w="4985"/>
        <w:gridCol w:w="60"/>
        <w:gridCol w:w="232"/>
        <w:gridCol w:w="1098"/>
        <w:gridCol w:w="111"/>
        <w:gridCol w:w="111"/>
        <w:gridCol w:w="232"/>
        <w:gridCol w:w="1098"/>
        <w:gridCol w:w="75"/>
      </w:tblGrid>
      <w:tr>
        <w:tc>
          <w:tcPr>
            <w:tcW w:w="49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9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11"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1" w:type="dxa"/>
            <w:tcBorders/>
            <w:shd w:fill="FFFFFF" w:val="clear"/>
            <w:vAlign w:val="center"/>
          </w:tcPr>
          <w:p>
            <w:pPr>
              <w:pStyle w:val="TableContents"/>
              <w:bidi w:val="0"/>
              <w:spacing w:before="0" w:after="283"/>
              <w:ind w:left="0" w:right="0" w:hanging="0"/>
              <w:jc w:val="left"/>
            </w:pPr>
            <w:r>
              <w:t> </w:t>
            </w:r>
          </w:p>
        </w:tc>
        <w:tc>
          <w:tcPr>
            <w:tcW w:w="13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fair value of restricted stock units vested (in thousands)</w:t>
            </w:r>
          </w:p>
        </w:tc>
        <w:tc>
          <w:tcPr>
            <w:tcW w:w="60" w:type="dxa"/>
            <w:tcBorders/>
            <w:shd w:fill="CCEEFF" w:val="clear"/>
            <w:vAlign w:val="center"/>
          </w:tcPr>
          <w:p>
            <w:pPr>
              <w:pStyle w:val="TableContents"/>
              <w:bidi w:val="0"/>
              <w:spacing w:before="0" w:after="283"/>
              <w:ind w:left="0" w:right="0" w:hanging="0"/>
              <w:jc w:val="left"/>
            </w:pPr>
            <w:r>
              <w:t> </w:t>
            </w:r>
          </w:p>
        </w:tc>
        <w:tc>
          <w:tcPr>
            <w:tcW w:w="2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35,565</w:t>
            </w:r>
          </w:p>
        </w:tc>
        <w:tc>
          <w:tcPr>
            <w:tcW w:w="111" w:type="dxa"/>
            <w:tcBorders/>
            <w:shd w:fill="CCEEFF" w:val="clear"/>
            <w:vAlign w:val="center"/>
          </w:tcPr>
          <w:p>
            <w:pPr>
              <w:pStyle w:val="TableContents"/>
              <w:bidi w:val="0"/>
              <w:spacing w:before="0" w:after="283"/>
              <w:jc w:val="left"/>
            </w:pPr>
            <w:r>
              <w:t> </w:t>
            </w:r>
          </w:p>
        </w:tc>
        <w:tc>
          <w:tcPr>
            <w:tcW w:w="111" w:type="dxa"/>
            <w:tcBorders/>
            <w:shd w:fill="CCEEFF" w:val="clear"/>
            <w:vAlign w:val="center"/>
          </w:tcPr>
          <w:p>
            <w:pPr>
              <w:pStyle w:val="TableContents"/>
              <w:bidi w:val="0"/>
              <w:spacing w:before="0" w:after="283"/>
              <w:ind w:left="0" w:right="0" w:hanging="0"/>
              <w:jc w:val="left"/>
            </w:pPr>
            <w:r>
              <w:t> </w:t>
            </w:r>
          </w:p>
        </w:tc>
        <w:tc>
          <w:tcPr>
            <w:tcW w:w="2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18,232</w:t>
            </w:r>
          </w:p>
        </w:tc>
        <w:tc>
          <w:tcPr>
            <w:tcW w:w="75"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withholds common stock to satisfy employee tax withholding obligations in connection with the vesting of RSUs and treats RSUs withheld for tax withholding in a similar manner to common stock repurchases and reports such shares as treasury stock. Shares withheld for taxes related to employees’ tax withholding obligation for shares issued under the equity plans and the respective amounts are reflected in the condensed consolidated statements of stockholders’ equity.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b/>
          <w:i/>
          <w:caps w:val="false"/>
          <w:smallCaps w:val="false"/>
          <w:sz w:val="20"/>
        </w:rPr>
      </w:pPr>
      <w:r>
        <w:rPr>
          <w:rFonts w:ascii="Times New Roman" w:hAnsi="Times New Roman"/>
          <w:b/>
          <w:i/>
          <w:caps w:val="false"/>
          <w:smallCaps w:val="false"/>
          <w:sz w:val="20"/>
        </w:rPr>
        <w:t>Performance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2026, </w:t>
      </w:r>
      <w:r>
        <w:rPr>
          <w:rFonts w:ascii="Times New Roman" w:hAnsi="Times New Roman"/>
          <w:caps w:val="false"/>
          <w:smallCaps w:val="false"/>
          <w:sz w:val="20"/>
        </w:rPr>
        <w:t xml:space="preserve">under the PSU program, the Company granted 500,000 PSUs to certain members of the senior management team, which will vest at the end of a three-year vesting period that began on </w:t>
      </w:r>
      <w:r>
        <w:rPr>
          <w:rStyle w:val="Emphasis"/>
          <w:rFonts w:ascii="Times New Roman" w:hAnsi="Times New Roman"/>
          <w:caps w:val="false"/>
          <w:smallCaps w:val="false"/>
          <w:sz w:val="20"/>
        </w:rPr>
        <w:t xml:space="preserve">September 1, 2026. </w:t>
      </w:r>
      <w:r>
        <w:rPr>
          <w:rFonts w:ascii="Times New Roman" w:hAnsi="Times New Roman"/>
          <w:caps w:val="false"/>
          <w:smallCaps w:val="false"/>
          <w:sz w:val="20"/>
        </w:rPr>
        <w:t xml:space="preserve">For each PSU, the number of shares that can be earned ranges from 0% to 100% of the target number of shares if the Company's average closing stock price over the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trading days leading up to the end of the three-year vesting period equals or exceeds a certain target market price, and subject to continuous employment through the vesting date.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average grant date fair value of $18.58 per PSU was estimated based on a Monte Carlo simulation as of the date of grant assuming expected volatility of 53.3%, a risk-free rate of 4.4%, and a dividend yield of 0%. Stock-based compensation expense for PSUs is recognized ratably over the three-year vesting period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reversed if the market condition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met.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there was a total of $9.0 million of unrecognized stock-based compensation expense related to unvested PSUs, which is expected to be recognized over a remaining weighted average period of 2.9 years.</w:t>
      </w:r>
    </w:p>
    <w:p>
      <w:pPr>
        <w:pStyle w:val="TextBody"/>
        <w:bidi w:val="0"/>
        <w:spacing w:before="0" w:after="0"/>
        <w:ind w:left="0" w:right="0" w:hanging="0"/>
        <w:jc w:val="left"/>
      </w:pPr>
      <w:r>
        <w:t> </w:t>
      </w:r>
    </w:p>
    <w:p>
      <w:pPr>
        <w:pStyle w:val="TextBody"/>
        <w:bidi w:val="0"/>
        <w:spacing w:before="0" w:after="0"/>
        <w:ind w:left="0" w:right="0" w:firstLine="360"/>
        <w:jc w:val="left"/>
        <w:rPr>
          <w:rFonts w:ascii="Times New Roman" w:hAnsi="Times New Roman"/>
          <w:b/>
          <w:i/>
          <w:caps w:val="false"/>
          <w:smallCaps w:val="false"/>
          <w:sz w:val="20"/>
        </w:rPr>
      </w:pPr>
      <w:r>
        <w:rPr>
          <w:rFonts w:ascii="Times New Roman" w:hAnsi="Times New Roman"/>
          <w:b/>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There were no stock options granted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 outstanding stock options totaled 12,557 shares. Total fair value of shares vested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was immaterial.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there was no remaining unrecognized compensation cost related to unvested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15, 2021, </w:t>
      </w:r>
      <w:r>
        <w:rPr>
          <w:rFonts w:ascii="Times New Roman" w:hAnsi="Times New Roman"/>
          <w:caps w:val="false"/>
          <w:smallCaps w:val="false"/>
          <w:sz w:val="20"/>
        </w:rPr>
        <w:t xml:space="preserve">the Company’s stockholders initially approved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Employee Stock Purchase Plan, which has been amended and restated by the Board of Directors and approved by the Company’s stockholders since then (as amended through the date of this report,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Purchase Plan”). The most recent amendment, approved by the Company’s Board of Directors on </w:t>
      </w:r>
      <w:r>
        <w:rPr>
          <w:rStyle w:val="Emphasis"/>
          <w:rFonts w:ascii="Times New Roman" w:hAnsi="Times New Roman"/>
          <w:caps w:val="false"/>
          <w:smallCaps w:val="false"/>
          <w:sz w:val="20"/>
        </w:rPr>
        <w:t xml:space="preserve">April 23, 2026, </w:t>
      </w:r>
      <w:r>
        <w:rPr>
          <w:rFonts w:ascii="Times New Roman" w:hAnsi="Times New Roman"/>
          <w:caps w:val="false"/>
          <w:smallCaps w:val="false"/>
          <w:sz w:val="20"/>
        </w:rPr>
        <w:t xml:space="preserve">and the stockholders on </w:t>
      </w:r>
      <w:r>
        <w:rPr>
          <w:rStyle w:val="Emphasis"/>
          <w:rFonts w:ascii="Times New Roman" w:hAnsi="Times New Roman"/>
          <w:caps w:val="false"/>
          <w:smallCaps w:val="false"/>
          <w:sz w:val="20"/>
        </w:rPr>
        <w:t xml:space="preserve">June 16, 2026, </w:t>
      </w:r>
      <w:r>
        <w:rPr>
          <w:rFonts w:ascii="Times New Roman" w:hAnsi="Times New Roman"/>
          <w:caps w:val="false"/>
          <w:smallCaps w:val="false"/>
          <w:sz w:val="20"/>
        </w:rPr>
        <w:t xml:space="preserve">increased the number of shares reserved for issuance under such plan by an additional 0.2 million shares, to a total of 1.6 million shares.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Purchase Plan commenced on </w:t>
      </w:r>
      <w:r>
        <w:rPr>
          <w:rStyle w:val="Emphasis"/>
          <w:rFonts w:ascii="Times New Roman" w:hAnsi="Times New Roman"/>
          <w:caps w:val="false"/>
          <w:smallCaps w:val="false"/>
          <w:sz w:val="20"/>
        </w:rPr>
        <w:t xml:space="preserve">August 1, 2021, </w:t>
      </w:r>
      <w:r>
        <w:rPr>
          <w:rFonts w:ascii="Times New Roman" w:hAnsi="Times New Roman"/>
          <w:caps w:val="false"/>
          <w:smallCaps w:val="false"/>
          <w:sz w:val="20"/>
        </w:rPr>
        <w:t xml:space="preserve">and provides for twenty-four-month offering periods with </w:t>
      </w:r>
      <w:r>
        <w:rPr>
          <w:rStyle w:val="Emphasis"/>
          <w:rFonts w:ascii="Times New Roman" w:hAnsi="Times New Roman"/>
          <w:caps w:val="false"/>
          <w:smallCaps w:val="false"/>
          <w:sz w:val="20"/>
        </w:rPr>
        <w:t>four six</w:t>
      </w:r>
      <w:r>
        <w:rPr>
          <w:rFonts w:ascii="Times New Roman" w:hAnsi="Times New Roman"/>
          <w:caps w:val="false"/>
          <w:smallCaps w:val="false"/>
          <w:sz w:val="20"/>
        </w:rPr>
        <w:t xml:space="preserve">-month purchase periods in each offering period.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0.6 million shares were available for future issuance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Purchase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firstLine="360"/>
        <w:jc w:val="both"/>
      </w:pPr>
      <w:r>
        <w:rPr>
          <w:rFonts w:ascii="Times New Roman" w:hAnsi="Times New Roman"/>
          <w:caps w:val="false"/>
          <w:smallCaps w:val="false"/>
          <w:sz w:val="20"/>
        </w:rPr>
        <w:t xml:space="preserve">The Company estimated the fair value of purchase rights granted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Purchase Plan during the period using the Black-Scholes-Merton option-pricing model with the following weighted average assumptions, resulting in the following weighted average fair values:</w:t>
      </w:r>
    </w:p>
    <w:p>
      <w:pPr>
        <w:pStyle w:val="TextBody"/>
        <w:bidi w:val="0"/>
        <w:spacing w:before="0" w:after="0"/>
        <w:ind w:left="0" w:right="0" w:hanging="0"/>
        <w:jc w:val="left"/>
        <w:rPr>
          <w:caps w:val="false"/>
          <w:smallCaps w:val="false"/>
        </w:rPr>
      </w:pPr>
      <w:r>
        <w:rPr>
          <w:caps w:val="false"/>
          <w:smallCaps w:val="false"/>
        </w:rPr>
        <w:t> </w:t>
      </w:r>
    </w:p>
    <w:tbl>
      <w:tblPr>
        <w:tblW w:w="9059" w:type="dxa"/>
        <w:jc w:val="left"/>
        <w:tblInd w:w="0" w:type="dxa"/>
        <w:tblLayout w:type="fixed"/>
        <w:tblCellMar>
          <w:top w:w="0" w:type="dxa"/>
          <w:left w:w="0" w:type="dxa"/>
          <w:bottom w:w="0" w:type="dxa"/>
          <w:right w:w="0" w:type="dxa"/>
        </w:tblCellMar>
      </w:tblPr>
      <w:tblGrid>
        <w:gridCol w:w="5915"/>
        <w:gridCol w:w="60"/>
        <w:gridCol w:w="246"/>
        <w:gridCol w:w="955"/>
        <w:gridCol w:w="364"/>
        <w:gridCol w:w="118"/>
        <w:gridCol w:w="246"/>
        <w:gridCol w:w="955"/>
        <w:gridCol w:w="200"/>
      </w:tblGrid>
      <w:tr>
        <w:tc>
          <w:tcPr>
            <w:tcW w:w="59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9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364"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8" w:type="dxa"/>
            <w:tcBorders/>
            <w:shd w:fill="FFFFFF" w:val="clear"/>
            <w:vAlign w:val="center"/>
          </w:tcPr>
          <w:p>
            <w:pPr>
              <w:pStyle w:val="TableContents"/>
              <w:bidi w:val="0"/>
              <w:spacing w:before="0" w:after="283"/>
              <w:ind w:left="0" w:right="0" w:hanging="0"/>
              <w:jc w:val="left"/>
            </w:pPr>
            <w:r>
              <w:t> </w:t>
            </w:r>
          </w:p>
        </w:tc>
        <w:tc>
          <w:tcPr>
            <w:tcW w:w="12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 (in years)</w:t>
            </w:r>
          </w:p>
        </w:tc>
        <w:tc>
          <w:tcPr>
            <w:tcW w:w="60" w:type="dxa"/>
            <w:tcBorders/>
            <w:shd w:fill="CCEEFF" w:val="clear"/>
            <w:vAlign w:val="center"/>
          </w:tcPr>
          <w:p>
            <w:pPr>
              <w:pStyle w:val="TableContents"/>
              <w:bidi w:val="0"/>
              <w:spacing w:before="0" w:after="283"/>
              <w:jc w:val="left"/>
            </w:pPr>
            <w:r>
              <w:t> </w:t>
            </w:r>
          </w:p>
        </w:tc>
        <w:tc>
          <w:tcPr>
            <w:tcW w:w="246" w:type="dxa"/>
            <w:tcBorders/>
            <w:shd w:fill="CCEEFF" w:val="clear"/>
            <w:vAlign w:val="center"/>
          </w:tcPr>
          <w:p>
            <w:pPr>
              <w:pStyle w:val="TableContents"/>
              <w:bidi w:val="0"/>
              <w:spacing w:before="0" w:after="283"/>
              <w:ind w:left="0" w:right="0" w:hanging="0"/>
              <w:jc w:val="left"/>
            </w:pPr>
            <w:r>
              <w:t> </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364" w:type="dxa"/>
            <w:tcBorders/>
            <w:shd w:fill="CCEEFF" w:val="clear"/>
            <w:vAlign w:val="center"/>
          </w:tcPr>
          <w:p>
            <w:pPr>
              <w:pStyle w:val="TableContents"/>
              <w:bidi w:val="0"/>
              <w:spacing w:before="0" w:after="283"/>
              <w:jc w:val="left"/>
            </w:pPr>
            <w:r>
              <w:t> </w:t>
            </w:r>
          </w:p>
        </w:tc>
        <w:tc>
          <w:tcPr>
            <w:tcW w:w="118" w:type="dxa"/>
            <w:tcBorders/>
            <w:shd w:fill="CCEEFF" w:val="clear"/>
            <w:vAlign w:val="center"/>
          </w:tcPr>
          <w:p>
            <w:pPr>
              <w:pStyle w:val="TableContents"/>
              <w:bidi w:val="0"/>
              <w:spacing w:before="0" w:after="283"/>
              <w:jc w:val="left"/>
            </w:pPr>
            <w:r>
              <w:t> </w:t>
            </w:r>
          </w:p>
        </w:tc>
        <w:tc>
          <w:tcPr>
            <w:tcW w:w="246" w:type="dxa"/>
            <w:tcBorders/>
            <w:shd w:fill="CCEEFF" w:val="clear"/>
            <w:vAlign w:val="center"/>
          </w:tcPr>
          <w:p>
            <w:pPr>
              <w:pStyle w:val="TableContents"/>
              <w:bidi w:val="0"/>
              <w:spacing w:before="0" w:after="283"/>
              <w:ind w:left="0" w:right="0" w:hanging="0"/>
              <w:jc w:val="left"/>
            </w:pPr>
            <w:r>
              <w:t> </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200" w:type="dxa"/>
            <w:tcBorders/>
            <w:shd w:fill="CCEEFF" w:val="clear"/>
            <w:vAlign w:val="center"/>
          </w:tcPr>
          <w:p>
            <w:pPr>
              <w:pStyle w:val="TableContents"/>
              <w:bidi w:val="0"/>
              <w:spacing w:before="0" w:after="283"/>
              <w:jc w:val="left"/>
            </w:pPr>
            <w:r>
              <w:t> </w:t>
            </w:r>
          </w:p>
        </w:tc>
      </w:tr>
      <w:tr>
        <w:tc>
          <w:tcPr>
            <w:tcW w:w="5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Volatility</w:t>
            </w:r>
          </w:p>
        </w:tc>
        <w:tc>
          <w:tcPr>
            <w:tcW w:w="60" w:type="dxa"/>
            <w:tcBorders/>
            <w:shd w:fill="FFFFFF" w:val="clear"/>
            <w:vAlign w:val="center"/>
          </w:tcPr>
          <w:p>
            <w:pPr>
              <w:pStyle w:val="TableContents"/>
              <w:bidi w:val="0"/>
              <w:spacing w:before="0" w:after="283"/>
              <w:jc w:val="left"/>
            </w:pPr>
            <w:r>
              <w:t> </w:t>
            </w:r>
          </w:p>
        </w:tc>
        <w:tc>
          <w:tcPr>
            <w:tcW w:w="246" w:type="dxa"/>
            <w:tcBorders/>
            <w:shd w:fill="FFFFFF" w:val="clear"/>
            <w:vAlign w:val="center"/>
          </w:tcPr>
          <w:p>
            <w:pPr>
              <w:pStyle w:val="TableContents"/>
              <w:bidi w:val="0"/>
              <w:spacing w:before="0" w:after="283"/>
              <w:ind w:left="0" w:right="0" w:hanging="0"/>
              <w:jc w:val="left"/>
            </w:pPr>
            <w:r>
              <w:t> </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61.49</w:t>
            </w:r>
          </w:p>
        </w:tc>
        <w:tc>
          <w:tcPr>
            <w:tcW w:w="3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 w:type="dxa"/>
            <w:tcBorders/>
            <w:shd w:fill="FFFFFF" w:val="clear"/>
            <w:vAlign w:val="center"/>
          </w:tcPr>
          <w:p>
            <w:pPr>
              <w:pStyle w:val="TableContents"/>
              <w:bidi w:val="0"/>
              <w:spacing w:before="0" w:after="283"/>
              <w:jc w:val="left"/>
            </w:pPr>
            <w:r>
              <w:t> </w:t>
            </w:r>
          </w:p>
        </w:tc>
        <w:tc>
          <w:tcPr>
            <w:tcW w:w="246" w:type="dxa"/>
            <w:tcBorders/>
            <w:shd w:fill="FFFFFF" w:val="clear"/>
            <w:vAlign w:val="center"/>
          </w:tcPr>
          <w:p>
            <w:pPr>
              <w:pStyle w:val="TableContents"/>
              <w:bidi w:val="0"/>
              <w:spacing w:before="0" w:after="283"/>
              <w:ind w:left="0" w:right="0" w:hanging="0"/>
              <w:jc w:val="left"/>
            </w:pPr>
            <w:r>
              <w:t> </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pPr>
            <w:r>
              <w:t> </w:t>
            </w:r>
          </w:p>
        </w:tc>
        <w:tc>
          <w:tcPr>
            <w:tcW w:w="246" w:type="dxa"/>
            <w:tcBorders/>
            <w:shd w:fill="CCEEFF" w:val="clear"/>
            <w:vAlign w:val="center"/>
          </w:tcPr>
          <w:p>
            <w:pPr>
              <w:pStyle w:val="TableContents"/>
              <w:bidi w:val="0"/>
              <w:spacing w:before="0" w:after="283"/>
              <w:ind w:left="0" w:right="0" w:hanging="0"/>
              <w:jc w:val="left"/>
            </w:pPr>
            <w:r>
              <w:t> </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w:t>
            </w:r>
          </w:p>
        </w:tc>
        <w:tc>
          <w:tcPr>
            <w:tcW w:w="3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 w:type="dxa"/>
            <w:tcBorders/>
            <w:shd w:fill="CCEEFF" w:val="clear"/>
            <w:vAlign w:val="center"/>
          </w:tcPr>
          <w:p>
            <w:pPr>
              <w:pStyle w:val="TableContents"/>
              <w:bidi w:val="0"/>
              <w:spacing w:before="0" w:after="283"/>
              <w:jc w:val="left"/>
            </w:pPr>
            <w:r>
              <w:t> </w:t>
            </w:r>
          </w:p>
        </w:tc>
        <w:tc>
          <w:tcPr>
            <w:tcW w:w="246" w:type="dxa"/>
            <w:tcBorders/>
            <w:shd w:fill="CCEEFF" w:val="clear"/>
            <w:vAlign w:val="center"/>
          </w:tcPr>
          <w:p>
            <w:pPr>
              <w:pStyle w:val="TableContents"/>
              <w:bidi w:val="0"/>
              <w:spacing w:before="0" w:after="283"/>
              <w:ind w:left="0" w:right="0" w:hanging="0"/>
              <w:jc w:val="left"/>
            </w:pPr>
            <w:r>
              <w:t> </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w:t>
            </w:r>
          </w:p>
        </w:tc>
        <w:tc>
          <w:tcPr>
            <w:tcW w:w="60" w:type="dxa"/>
            <w:tcBorders/>
            <w:shd w:fill="FFFFFF" w:val="clear"/>
            <w:vAlign w:val="center"/>
          </w:tcPr>
          <w:p>
            <w:pPr>
              <w:pStyle w:val="TableContents"/>
              <w:bidi w:val="0"/>
              <w:spacing w:before="0" w:after="283"/>
              <w:jc w:val="left"/>
            </w:pPr>
            <w:r>
              <w:t> </w:t>
            </w:r>
          </w:p>
        </w:tc>
        <w:tc>
          <w:tcPr>
            <w:tcW w:w="246" w:type="dxa"/>
            <w:tcBorders/>
            <w:shd w:fill="FFFFFF" w:val="clear"/>
            <w:vAlign w:val="center"/>
          </w:tcPr>
          <w:p>
            <w:pPr>
              <w:pStyle w:val="TableContents"/>
              <w:bidi w:val="0"/>
              <w:spacing w:before="0" w:after="283"/>
              <w:ind w:left="0" w:right="0" w:hanging="0"/>
              <w:jc w:val="left"/>
            </w:pPr>
            <w:r>
              <w:t> </w:t>
            </w:r>
          </w:p>
        </w:tc>
        <w:tc>
          <w:tcPr>
            <w:tcW w:w="955" w:type="dxa"/>
            <w:tcBorders/>
            <w:shd w:fill="FFFFFF" w:val="clear"/>
            <w:vAlign w:val="center"/>
          </w:tcPr>
          <w:p>
            <w:pPr>
              <w:pStyle w:val="TableContents"/>
              <w:bidi w:val="0"/>
              <w:spacing w:before="0" w:after="283"/>
              <w:ind w:left="0" w:right="0" w:hanging="0"/>
              <w:jc w:val="right"/>
            </w:pPr>
            <w:r>
              <w:t>—</w:t>
            </w:r>
          </w:p>
        </w:tc>
        <w:tc>
          <w:tcPr>
            <w:tcW w:w="364" w:type="dxa"/>
            <w:tcBorders/>
            <w:shd w:fill="FFFFFF" w:val="clear"/>
            <w:vAlign w:val="center"/>
          </w:tcPr>
          <w:p>
            <w:pPr>
              <w:pStyle w:val="TableContents"/>
              <w:bidi w:val="0"/>
              <w:spacing w:before="0" w:after="283"/>
              <w:jc w:val="left"/>
            </w:pPr>
            <w:r>
              <w:t> </w:t>
            </w:r>
          </w:p>
        </w:tc>
        <w:tc>
          <w:tcPr>
            <w:tcW w:w="118" w:type="dxa"/>
            <w:tcBorders/>
            <w:shd w:fill="FFFFFF" w:val="clear"/>
            <w:vAlign w:val="center"/>
          </w:tcPr>
          <w:p>
            <w:pPr>
              <w:pStyle w:val="TableContents"/>
              <w:bidi w:val="0"/>
              <w:spacing w:before="0" w:after="283"/>
              <w:jc w:val="left"/>
            </w:pPr>
            <w:r>
              <w:t> </w:t>
            </w:r>
          </w:p>
        </w:tc>
        <w:tc>
          <w:tcPr>
            <w:tcW w:w="246" w:type="dxa"/>
            <w:tcBorders/>
            <w:shd w:fill="FFFFFF" w:val="clear"/>
            <w:vAlign w:val="center"/>
          </w:tcPr>
          <w:p>
            <w:pPr>
              <w:pStyle w:val="TableContents"/>
              <w:bidi w:val="0"/>
              <w:spacing w:before="0" w:after="283"/>
              <w:ind w:left="0" w:right="0" w:hanging="0"/>
              <w:jc w:val="left"/>
            </w:pPr>
            <w:r>
              <w:t> </w:t>
            </w:r>
          </w:p>
        </w:tc>
        <w:tc>
          <w:tcPr>
            <w:tcW w:w="955" w:type="dxa"/>
            <w:tcBorders/>
            <w:shd w:fill="FFFFFF" w:val="clear"/>
            <w:vAlign w:val="center"/>
          </w:tcPr>
          <w:p>
            <w:pPr>
              <w:pStyle w:val="TableContents"/>
              <w:bidi w:val="0"/>
              <w:spacing w:before="0" w:after="283"/>
              <w:ind w:left="0" w:right="0" w:hanging="0"/>
              <w:jc w:val="right"/>
            </w:pPr>
            <w:r>
              <w:t>—</w:t>
            </w:r>
          </w:p>
        </w:tc>
        <w:tc>
          <w:tcPr>
            <w:tcW w:w="200" w:type="dxa"/>
            <w:tcBorders/>
            <w:shd w:fill="FFFFFF" w:val="clear"/>
            <w:vAlign w:val="center"/>
          </w:tcPr>
          <w:p>
            <w:pPr>
              <w:pStyle w:val="TableContents"/>
              <w:bidi w:val="0"/>
              <w:spacing w:before="0" w:after="283"/>
              <w:jc w:val="left"/>
            </w:pPr>
            <w:r>
              <w:t> </w:t>
            </w:r>
          </w:p>
        </w:tc>
      </w:tr>
      <w:tr>
        <w:tc>
          <w:tcPr>
            <w:tcW w:w="5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fair value of purchase rights granted during the period</w:t>
            </w:r>
          </w:p>
        </w:tc>
        <w:tc>
          <w:tcPr>
            <w:tcW w:w="60" w:type="dxa"/>
            <w:tcBorders/>
            <w:shd w:fill="CCEEFF" w:val="clear"/>
            <w:vAlign w:val="center"/>
          </w:tcPr>
          <w:p>
            <w:pPr>
              <w:pStyle w:val="TableContents"/>
              <w:bidi w:val="0"/>
              <w:spacing w:before="0" w:after="283"/>
              <w:ind w:left="0" w:right="0" w:hanging="0"/>
              <w:jc w:val="left"/>
            </w:pPr>
            <w:r>
              <w:t> </w:t>
            </w:r>
          </w:p>
        </w:tc>
        <w:tc>
          <w:tcPr>
            <w:tcW w:w="2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16.36</w:t>
            </w:r>
          </w:p>
        </w:tc>
        <w:tc>
          <w:tcPr>
            <w:tcW w:w="364" w:type="dxa"/>
            <w:tcBorders/>
            <w:shd w:fill="CCEEFF" w:val="clear"/>
            <w:vAlign w:val="center"/>
          </w:tcPr>
          <w:p>
            <w:pPr>
              <w:pStyle w:val="TableContents"/>
              <w:bidi w:val="0"/>
              <w:spacing w:before="0" w:after="283"/>
              <w:jc w:val="left"/>
            </w:pPr>
            <w:r>
              <w:t> </w:t>
            </w:r>
          </w:p>
        </w:tc>
        <w:tc>
          <w:tcPr>
            <w:tcW w:w="118" w:type="dxa"/>
            <w:tcBorders/>
            <w:shd w:fill="CCEEFF" w:val="clear"/>
            <w:vAlign w:val="center"/>
          </w:tcPr>
          <w:p>
            <w:pPr>
              <w:pStyle w:val="TableContents"/>
              <w:bidi w:val="0"/>
              <w:spacing w:before="0" w:after="283"/>
              <w:ind w:left="0" w:right="0" w:hanging="0"/>
              <w:jc w:val="left"/>
            </w:pPr>
            <w:r>
              <w:t> </w:t>
            </w:r>
          </w:p>
        </w:tc>
        <w:tc>
          <w:tcPr>
            <w:tcW w:w="2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w:t>
            </w:r>
          </w:p>
        </w:tc>
        <w:tc>
          <w:tcPr>
            <w:tcW w:w="20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 total of 231,920 shares and 197,414 shares, respectively, were issued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Purchase Plan, at a weighted average purchase price of $18.67 per share and $21.08 per share, respectively.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 estimated unrecognized compensation cost related to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Purchase Plan was $2.1 million, which is expected to be recognized over a weighted average period of 1.1 years.</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Income tax expense increased by $1.7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to $2.9 million income tax expense compared to $1.2 million income tax expense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Company’s effective tax rate was 15%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compared to 205%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r>
        <w:rPr>
          <w:rFonts w:ascii="Times New Roman" w:hAnsi="Times New Roman"/>
          <w:caps w:val="false"/>
          <w:smallCaps w:val="false"/>
          <w:sz w:val="20"/>
        </w:rPr>
        <w:t xml:space="preserve">. The increase in income tax expense was primarily due to changes in the foreign, federal and state taxes, and year-to-date recognition of worldwide pre-tax income (loss) in relation to their forecasted amounts for the full year. The Company’s provision for income taxes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was primarily attributable to foreign taxes, U.S. federal and state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Company’s total amount of unrecognized tax benefits, excluding interest,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was $17.9 million, of which $2.8 million, if recognized, would affect the Company’s effective tax rate. The Company’s total amount of unrecognized tax benefits, excluding interest,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was $17.1 million, of which $2.5 million, if recognized, would affect the Company’s effective tax rate.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the Company has recorded unrecognized tax benefits of $3.5 million, including interest of $0.7 million, as long-term taxes payable in the condensed consolidated balance sheets. The remaining $15.1 million has been recorded within the Company’s DTAs, which is subject to a full valuation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valuation allowance was approximately $69.9 million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which was related to U.S. net federal and state DTAs. The worldwide net DTA balances were immaterial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has historically maintained a full valuation allowance against all the domestic DTAs because it was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DTAs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The Company intends to continue maintaining a full valuation allowance on the DTAs until sufficient evidence indicates its DTAs will be realized. However, considering the Company’s current assessment of the probability of maintaining profitability, there is a reasonable possibility that in the short term, a portion, or all, of the valuation allowance will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be prudent. As such,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release a portion, or all, of the valuation allowance against DTAs within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This release, if any, will result in the recognition of certain DTAs and a decrease to income tax expense for the period such release is recorded. The Company is currently evaluating both quantitative and qualitative factors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impact the valuation allowance assessment. Therefore, the exact timing and amount of the valuation allowance release are subject to the Company’s profitability and projected ability to utilize the Company’s tax attributes, among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conducts business globally and, as a result, files numerous consolidated and separate income tax returns in the U.S. federal and various state and foreign jurisdictions. For U.S. federal and California income tax purposes, the statute of limitations currently remains open for the tax years ended 2022 to present and 2021 to present, respectively. In addition, all of the net operating loss and research and development credit carryforwards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utilized in future years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subject to federal and state examination. In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 xml:space="preserve">the Company received a notice from the Department of the Treasury Internal Revenue Service (“IRS”) that the Company’s federal income tax return for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was selected for examination. The examination remains in its early stages,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proposed adjustments have been raised by the IRS to date.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under any other income tax examinations in the U.S. for any other periods or in any other of its major foreign subsidiaries’ jurisdictions.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NET INCOME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Basic net income (loss) per share is computed by dividing net income (loss) by the weighted average number of common shares outstanding for the period (excluding outstanding stock options, nonvested restricted stock units and shares subject to repurchase). Diluted net income (loss) per share is computed using the weighted average number of common shares outstanding for the period plus the potential effect of dilutive securities which are convertible into common shares (using the treasury stock method), except in cases in which the effect would be anti-dilutive. The following is a reconciliation of the numerators and denominators used in computing basic and diluted net income (loss) per share (in thousands except per share amount):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95"/>
        <w:gridCol w:w="60"/>
        <w:gridCol w:w="171"/>
        <w:gridCol w:w="813"/>
        <w:gridCol w:w="82"/>
        <w:gridCol w:w="82"/>
        <w:gridCol w:w="171"/>
        <w:gridCol w:w="813"/>
        <w:gridCol w:w="60"/>
        <w:gridCol w:w="60"/>
        <w:gridCol w:w="169"/>
        <w:gridCol w:w="799"/>
        <w:gridCol w:w="81"/>
        <w:gridCol w:w="81"/>
        <w:gridCol w:w="169"/>
        <w:gridCol w:w="799"/>
        <w:gridCol w:w="100"/>
      </w:tblGrid>
      <w:tr>
        <w:tc>
          <w:tcPr>
            <w:tcW w:w="56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1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0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6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9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9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813"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81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9" w:type="dxa"/>
            <w:tcBorders/>
            <w:shd w:fill="CCEEFF" w:val="clear"/>
            <w:vAlign w:val="center"/>
          </w:tcPr>
          <w:p>
            <w:pPr>
              <w:pStyle w:val="TableContents"/>
              <w:bidi w:val="0"/>
              <w:spacing w:before="0" w:after="283"/>
              <w:jc w:val="left"/>
            </w:pPr>
            <w:r>
              <w:t> </w:t>
            </w:r>
          </w:p>
        </w:tc>
        <w:tc>
          <w:tcPr>
            <w:tcW w:w="799"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jc w:val="left"/>
            </w:pPr>
            <w:r>
              <w:t> </w:t>
            </w:r>
          </w:p>
        </w:tc>
        <w:tc>
          <w:tcPr>
            <w:tcW w:w="169" w:type="dxa"/>
            <w:tcBorders/>
            <w:shd w:fill="CCEEFF" w:val="clear"/>
            <w:vAlign w:val="center"/>
          </w:tcPr>
          <w:p>
            <w:pPr>
              <w:pStyle w:val="TableContents"/>
              <w:bidi w:val="0"/>
              <w:spacing w:before="0" w:after="283"/>
              <w:jc w:val="left"/>
            </w:pPr>
            <w:r>
              <w:t> </w:t>
            </w:r>
          </w:p>
        </w:tc>
        <w:tc>
          <w:tcPr>
            <w:tcW w:w="799" w:type="dxa"/>
            <w:tcBorders/>
            <w:shd w:fill="CCEEFF" w:val="clear"/>
            <w:vAlign w:val="center"/>
          </w:tcPr>
          <w:p>
            <w:pPr>
              <w:pStyle w:val="TableContents"/>
              <w:bidi w:val="0"/>
              <w:spacing w:before="0" w:after="283"/>
              <w:jc w:val="left"/>
            </w:pPr>
            <w:r>
              <w:t> </w:t>
            </w:r>
          </w:p>
        </w:tc>
        <w:tc>
          <w:tcPr>
            <w:tcW w:w="100" w:type="dxa"/>
            <w:tcBorders/>
            <w:shd w:fill="CCEEFF" w:val="clear"/>
            <w:vAlign w:val="center"/>
          </w:tcPr>
          <w:p>
            <w:pPr>
              <w:pStyle w:val="TableContents"/>
              <w:bidi w:val="0"/>
              <w:spacing w:before="0" w:after="283"/>
              <w:jc w:val="left"/>
            </w:pPr>
            <w:r>
              <w:t> </w:t>
            </w:r>
          </w:p>
        </w:tc>
      </w:tr>
      <w:tr>
        <w:tc>
          <w:tcPr>
            <w:tcW w:w="5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pPr>
            <w: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6,841</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15,903</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813"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81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9" w:type="dxa"/>
            <w:tcBorders/>
            <w:shd w:fill="CCEEFF" w:val="clear"/>
            <w:vAlign w:val="center"/>
          </w:tcPr>
          <w:p>
            <w:pPr>
              <w:pStyle w:val="TableContents"/>
              <w:bidi w:val="0"/>
              <w:spacing w:before="0" w:after="283"/>
              <w:jc w:val="left"/>
            </w:pPr>
            <w:r>
              <w:t> </w:t>
            </w:r>
          </w:p>
        </w:tc>
        <w:tc>
          <w:tcPr>
            <w:tcW w:w="799"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jc w:val="left"/>
            </w:pPr>
            <w:r>
              <w:t> </w:t>
            </w:r>
          </w:p>
        </w:tc>
        <w:tc>
          <w:tcPr>
            <w:tcW w:w="169" w:type="dxa"/>
            <w:tcBorders/>
            <w:shd w:fill="CCEEFF" w:val="clear"/>
            <w:vAlign w:val="center"/>
          </w:tcPr>
          <w:p>
            <w:pPr>
              <w:pStyle w:val="TableContents"/>
              <w:bidi w:val="0"/>
              <w:spacing w:before="0" w:after="283"/>
              <w:jc w:val="left"/>
            </w:pPr>
            <w:r>
              <w:t> </w:t>
            </w:r>
          </w:p>
        </w:tc>
        <w:tc>
          <w:tcPr>
            <w:tcW w:w="799" w:type="dxa"/>
            <w:tcBorders/>
            <w:shd w:fill="CCEEFF" w:val="clear"/>
            <w:vAlign w:val="center"/>
          </w:tcPr>
          <w:p>
            <w:pPr>
              <w:pStyle w:val="TableContents"/>
              <w:bidi w:val="0"/>
              <w:spacing w:before="0" w:after="283"/>
              <w:jc w:val="left"/>
            </w:pPr>
            <w:r>
              <w:t> </w:t>
            </w:r>
          </w:p>
        </w:tc>
        <w:tc>
          <w:tcPr>
            <w:tcW w:w="100" w:type="dxa"/>
            <w:tcBorders/>
            <w:shd w:fill="CCEEFF" w:val="clear"/>
            <w:vAlign w:val="center"/>
          </w:tcPr>
          <w:p>
            <w:pPr>
              <w:pStyle w:val="TableContents"/>
              <w:bidi w:val="0"/>
              <w:spacing w:before="0" w:after="283"/>
              <w:jc w:val="left"/>
            </w:pPr>
            <w:r>
              <w:t> </w:t>
            </w:r>
          </w:p>
        </w:tc>
      </w:tr>
      <w:tr>
        <w:tc>
          <w:tcPr>
            <w:tcW w:w="5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weighted average common shares outstanding</w:t>
            </w:r>
          </w:p>
        </w:tc>
        <w:tc>
          <w:tcPr>
            <w:tcW w:w="60" w:type="dxa"/>
            <w:tcBorders/>
            <w:shd w:fill="FFFFFF" w:val="clear"/>
            <w:vAlign w:val="center"/>
          </w:tcPr>
          <w:p>
            <w:pPr>
              <w:pStyle w:val="TableContents"/>
              <w:bidi w:val="0"/>
              <w:spacing w:before="0" w:after="283"/>
              <w:jc w:val="left"/>
            </w:pPr>
            <w:r>
              <w:t> </w:t>
            </w:r>
          </w:p>
        </w:tc>
        <w:tc>
          <w:tcPr>
            <w:tcW w:w="171" w:type="dxa"/>
            <w:tcBorders/>
            <w:shd w:fill="FFFFFF" w:val="clear"/>
            <w:vAlign w:val="center"/>
          </w:tcPr>
          <w:p>
            <w:pPr>
              <w:pStyle w:val="TableContents"/>
              <w:bidi w:val="0"/>
              <w:spacing w:before="0" w:after="283"/>
              <w:ind w:left="0" w:right="0" w:hanging="0"/>
              <w:jc w:val="left"/>
            </w:pPr>
            <w:r>
              <w:t> </w:t>
            </w:r>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42,193</w:t>
            </w:r>
          </w:p>
        </w:tc>
        <w:tc>
          <w:tcPr>
            <w:tcW w:w="82"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171" w:type="dxa"/>
            <w:tcBorders/>
            <w:shd w:fill="FFFFFF" w:val="clear"/>
            <w:vAlign w:val="center"/>
          </w:tcPr>
          <w:p>
            <w:pPr>
              <w:pStyle w:val="TableContents"/>
              <w:bidi w:val="0"/>
              <w:spacing w:before="0" w:after="283"/>
              <w:ind w:left="0" w:right="0" w:hanging="0"/>
              <w:jc w:val="left"/>
            </w:pPr>
            <w:r>
              <w:t> </w:t>
            </w:r>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9" w:type="dxa"/>
            <w:tcBorders/>
            <w:shd w:fill="FFFFFF" w:val="clear"/>
            <w:vAlign w:val="center"/>
          </w:tcPr>
          <w:p>
            <w:pPr>
              <w:pStyle w:val="TableContents"/>
              <w:bidi w:val="0"/>
              <w:spacing w:before="0" w:after="283"/>
              <w:ind w:left="0" w:right="0" w:hanging="0"/>
              <w:jc w:val="left"/>
            </w:pPr>
            <w:r>
              <w:t> </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41,003</w:t>
            </w:r>
          </w:p>
        </w:tc>
        <w:tc>
          <w:tcPr>
            <w:tcW w:w="81"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jc w:val="left"/>
            </w:pPr>
            <w:r>
              <w:t> </w:t>
            </w:r>
          </w:p>
        </w:tc>
        <w:tc>
          <w:tcPr>
            <w:tcW w:w="169" w:type="dxa"/>
            <w:tcBorders/>
            <w:shd w:fill="FFFFFF" w:val="clear"/>
            <w:vAlign w:val="center"/>
          </w:tcPr>
          <w:p>
            <w:pPr>
              <w:pStyle w:val="TableContents"/>
              <w:bidi w:val="0"/>
              <w:spacing w:before="0" w:after="283"/>
              <w:ind w:left="0" w:right="0" w:hanging="0"/>
              <w:jc w:val="left"/>
            </w:pPr>
            <w:r>
              <w:t> </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39,247</w:t>
            </w:r>
          </w:p>
        </w:tc>
        <w:tc>
          <w:tcPr>
            <w:tcW w:w="100" w:type="dxa"/>
            <w:tcBorders/>
            <w:shd w:fill="FFFFFF" w:val="clear"/>
            <w:vAlign w:val="center"/>
          </w:tcPr>
          <w:p>
            <w:pPr>
              <w:pStyle w:val="TableContents"/>
              <w:bidi w:val="0"/>
              <w:spacing w:before="0" w:after="283"/>
              <w:jc w:val="left"/>
            </w:pPr>
            <w:r>
              <w:t> </w:t>
            </w:r>
          </w:p>
        </w:tc>
      </w:tr>
      <w:tr>
        <w:tc>
          <w:tcPr>
            <w:tcW w:w="5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stock options, unvested restricted stock units, and shares of common stock expected to be issued under employee stock purchase plan</w:t>
            </w:r>
          </w:p>
        </w:tc>
        <w:tc>
          <w:tcPr>
            <w:tcW w:w="60" w:type="dxa"/>
            <w:tcBorders/>
            <w:shd w:fill="CCEEFF" w:val="clear"/>
            <w:vAlign w:val="center"/>
          </w:tcPr>
          <w:p>
            <w:pPr>
              <w:pStyle w:val="TableContents"/>
              <w:bidi w:val="0"/>
              <w:spacing w:before="0" w:after="283"/>
              <w:jc w:val="left"/>
            </w:pPr>
            <w: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jc w:val="left"/>
            </w:pPr>
            <w: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100"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5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weighted average common shares outstanding</w:t>
            </w:r>
          </w:p>
        </w:tc>
        <w:tc>
          <w:tcPr>
            <w:tcW w:w="60" w:type="dxa"/>
            <w:tcBorders/>
            <w:shd w:fill="FFFFFF" w:val="clear"/>
            <w:vAlign w:val="center"/>
          </w:tcPr>
          <w:p>
            <w:pPr>
              <w:pStyle w:val="TableContents"/>
              <w:bidi w:val="0"/>
              <w:spacing w:before="0" w:after="283"/>
              <w:jc w:val="left"/>
            </w:pPr>
            <w: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42,976</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39,619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41,718</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jc w:val="left"/>
            </w:pPr>
            <w: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39,247</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r>
        <w:tc>
          <w:tcPr>
            <w:tcW w:w="56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813"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171" w:type="dxa"/>
            <w:tcBorders/>
            <w:shd w:fill="CCEEFF" w:val="clear"/>
            <w:vAlign w:val="center"/>
          </w:tcPr>
          <w:p>
            <w:pPr>
              <w:pStyle w:val="TableContents"/>
              <w:bidi w:val="0"/>
              <w:spacing w:before="0" w:after="283"/>
              <w:jc w:val="left"/>
            </w:pPr>
            <w:r>
              <w:t> </w:t>
            </w:r>
          </w:p>
        </w:tc>
        <w:tc>
          <w:tcPr>
            <w:tcW w:w="813"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9" w:type="dxa"/>
            <w:tcBorders/>
            <w:shd w:fill="CCEEFF" w:val="clear"/>
            <w:vAlign w:val="center"/>
          </w:tcPr>
          <w:p>
            <w:pPr>
              <w:pStyle w:val="TableContents"/>
              <w:bidi w:val="0"/>
              <w:spacing w:before="0" w:after="283"/>
              <w:jc w:val="left"/>
            </w:pPr>
            <w:r>
              <w:t> </w:t>
            </w:r>
          </w:p>
        </w:tc>
        <w:tc>
          <w:tcPr>
            <w:tcW w:w="799"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jc w:val="left"/>
            </w:pPr>
            <w:r>
              <w:t> </w:t>
            </w:r>
          </w:p>
        </w:tc>
        <w:tc>
          <w:tcPr>
            <w:tcW w:w="169" w:type="dxa"/>
            <w:tcBorders/>
            <w:shd w:fill="CCEEFF" w:val="clear"/>
            <w:vAlign w:val="center"/>
          </w:tcPr>
          <w:p>
            <w:pPr>
              <w:pStyle w:val="TableContents"/>
              <w:bidi w:val="0"/>
              <w:spacing w:before="0" w:after="283"/>
              <w:jc w:val="left"/>
            </w:pPr>
            <w:r>
              <w:t> </w:t>
            </w:r>
          </w:p>
        </w:tc>
        <w:tc>
          <w:tcPr>
            <w:tcW w:w="799" w:type="dxa"/>
            <w:tcBorders/>
            <w:shd w:fill="CCEEFF" w:val="clear"/>
            <w:vAlign w:val="center"/>
          </w:tcPr>
          <w:p>
            <w:pPr>
              <w:pStyle w:val="TableContents"/>
              <w:bidi w:val="0"/>
              <w:spacing w:before="0" w:after="283"/>
              <w:jc w:val="left"/>
            </w:pPr>
            <w:r>
              <w:t> </w:t>
            </w:r>
          </w:p>
        </w:tc>
        <w:tc>
          <w:tcPr>
            <w:tcW w:w="100" w:type="dxa"/>
            <w:tcBorders/>
            <w:shd w:fill="CCEEFF" w:val="clear"/>
            <w:vAlign w:val="center"/>
          </w:tcPr>
          <w:p>
            <w:pPr>
              <w:pStyle w:val="TableContents"/>
              <w:bidi w:val="0"/>
              <w:spacing w:before="0" w:after="283"/>
              <w:jc w:val="left"/>
            </w:pPr>
            <w:r>
              <w:t> </w:t>
            </w:r>
          </w:p>
        </w:tc>
      </w:tr>
      <w:tr>
        <w:tc>
          <w:tcPr>
            <w:tcW w:w="5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share:</w:t>
            </w:r>
          </w:p>
        </w:tc>
        <w:tc>
          <w:tcPr>
            <w:tcW w:w="60" w:type="dxa"/>
            <w:tcBorders/>
            <w:shd w:fill="FFFFFF" w:val="clear"/>
            <w:vAlign w:val="center"/>
          </w:tcPr>
          <w:p>
            <w:pPr>
              <w:pStyle w:val="TableContents"/>
              <w:bidi w:val="0"/>
              <w:spacing w:before="0" w:after="283"/>
              <w:jc w:val="left"/>
            </w:pPr>
            <w:r>
              <w:t> </w:t>
            </w:r>
          </w:p>
        </w:tc>
        <w:tc>
          <w:tcPr>
            <w:tcW w:w="171" w:type="dxa"/>
            <w:tcBorders/>
            <w:shd w:fill="FFFFFF" w:val="clear"/>
            <w:vAlign w:val="center"/>
          </w:tcPr>
          <w:p>
            <w:pPr>
              <w:pStyle w:val="TableContents"/>
              <w:bidi w:val="0"/>
              <w:spacing w:before="0" w:after="283"/>
              <w:jc w:val="left"/>
            </w:pPr>
            <w:r>
              <w:t> </w:t>
            </w:r>
          </w:p>
        </w:tc>
        <w:tc>
          <w:tcPr>
            <w:tcW w:w="813"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171" w:type="dxa"/>
            <w:tcBorders/>
            <w:shd w:fill="FFFFFF" w:val="clear"/>
            <w:vAlign w:val="center"/>
          </w:tcPr>
          <w:p>
            <w:pPr>
              <w:pStyle w:val="TableContents"/>
              <w:bidi w:val="0"/>
              <w:spacing w:before="0" w:after="283"/>
              <w:jc w:val="left"/>
            </w:pPr>
            <w:r>
              <w:t> </w:t>
            </w:r>
          </w:p>
        </w:tc>
        <w:tc>
          <w:tcPr>
            <w:tcW w:w="81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9" w:type="dxa"/>
            <w:tcBorders/>
            <w:shd w:fill="FFFFFF" w:val="clear"/>
            <w:vAlign w:val="center"/>
          </w:tcPr>
          <w:p>
            <w:pPr>
              <w:pStyle w:val="TableContents"/>
              <w:bidi w:val="0"/>
              <w:spacing w:before="0" w:after="283"/>
              <w:jc w:val="left"/>
            </w:pPr>
            <w:r>
              <w:t> </w:t>
            </w:r>
          </w:p>
        </w:tc>
        <w:tc>
          <w:tcPr>
            <w:tcW w:w="799"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jc w:val="left"/>
            </w:pPr>
            <w:r>
              <w:t> </w:t>
            </w:r>
          </w:p>
        </w:tc>
        <w:tc>
          <w:tcPr>
            <w:tcW w:w="169" w:type="dxa"/>
            <w:tcBorders/>
            <w:shd w:fill="FFFFFF" w:val="clear"/>
            <w:vAlign w:val="center"/>
          </w:tcPr>
          <w:p>
            <w:pPr>
              <w:pStyle w:val="TableContents"/>
              <w:bidi w:val="0"/>
              <w:spacing w:before="0" w:after="283"/>
              <w:jc w:val="left"/>
            </w:pPr>
            <w:r>
              <w:t> </w:t>
            </w:r>
          </w:p>
        </w:tc>
        <w:tc>
          <w:tcPr>
            <w:tcW w:w="799" w:type="dxa"/>
            <w:tcBorders/>
            <w:shd w:fill="FFFFFF" w:val="clear"/>
            <w:vAlign w:val="center"/>
          </w:tcPr>
          <w:p>
            <w:pPr>
              <w:pStyle w:val="TableContents"/>
              <w:bidi w:val="0"/>
              <w:spacing w:before="0" w:after="283"/>
              <w:jc w:val="left"/>
            </w:pPr>
            <w:r>
              <w:t> </w:t>
            </w:r>
          </w:p>
        </w:tc>
        <w:tc>
          <w:tcPr>
            <w:tcW w:w="100" w:type="dxa"/>
            <w:tcBorders/>
            <w:shd w:fill="FFFFFF" w:val="clear"/>
            <w:vAlign w:val="center"/>
          </w:tcPr>
          <w:p>
            <w:pPr>
              <w:pStyle w:val="TableContents"/>
              <w:bidi w:val="0"/>
              <w:spacing w:before="0" w:after="283"/>
              <w:jc w:val="left"/>
            </w:pPr>
            <w:r>
              <w:t> </w:t>
            </w:r>
          </w:p>
        </w:tc>
      </w:tr>
      <w:tr>
        <w:tc>
          <w:tcPr>
            <w:tcW w:w="5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pPr>
            <w: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0.39</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81" w:type="dxa"/>
            <w:tcBorders/>
            <w:shd w:fill="CCEEFF" w:val="clear"/>
            <w:vAlign w:val="center"/>
          </w:tcPr>
          <w:p>
            <w:pPr>
              <w:pStyle w:val="TableContents"/>
              <w:bidi w:val="0"/>
              <w:spacing w:before="0" w:after="283"/>
              <w:ind w:left="0" w:right="0" w:hanging="0"/>
              <w:jc w:val="left"/>
            </w:pPr>
            <w: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pPr>
            <w: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0.16</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0.38</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81" w:type="dxa"/>
            <w:tcBorders/>
            <w:shd w:fill="FFFFFF" w:val="clear"/>
            <w:vAlign w:val="center"/>
          </w:tcPr>
          <w:p>
            <w:pPr>
              <w:pStyle w:val="TableContents"/>
              <w:bidi w:val="0"/>
              <w:spacing w:before="0" w:after="283"/>
              <w:ind w:left="0" w:right="0" w:hanging="0"/>
              <w:jc w:val="left"/>
            </w:pPr>
            <w: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1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pPr>
      <w:r>
        <w:t> </w:t>
      </w:r>
    </w:p>
    <w:p>
      <w:pPr>
        <w:pStyle w:val="TextBody"/>
        <w:bidi w:val="0"/>
        <w:spacing w:before="0" w:after="0"/>
        <w:ind w:left="0" w:right="0" w:firstLine="360"/>
        <w:jc w:val="both"/>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because the Company was in a loss position, diluted net loss per share is the same as basic net loss per share as the inclusion of the potential common shares would have been anti-dilutive.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following table summarizes the potential shares of common stock that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diluted net income (loss) per share calculation above because to do so would be anti-dilutive for the periods indicated (in thousands):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85"/>
        <w:gridCol w:w="60"/>
        <w:gridCol w:w="193"/>
        <w:gridCol w:w="1076"/>
        <w:gridCol w:w="192"/>
        <w:gridCol w:w="192"/>
        <w:gridCol w:w="193"/>
        <w:gridCol w:w="1076"/>
        <w:gridCol w:w="60"/>
        <w:gridCol w:w="60"/>
        <w:gridCol w:w="161"/>
        <w:gridCol w:w="896"/>
        <w:gridCol w:w="160"/>
        <w:gridCol w:w="160"/>
        <w:gridCol w:w="160"/>
        <w:gridCol w:w="1299"/>
        <w:gridCol w:w="82"/>
      </w:tblGrid>
      <w:tr>
        <w:tc>
          <w:tcPr>
            <w:tcW w:w="4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92"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92" w:type="dxa"/>
            <w:tcBorders/>
            <w:shd w:fill="FFFFFF" w:val="clear"/>
            <w:vAlign w:val="center"/>
          </w:tcPr>
          <w:p>
            <w:pPr>
              <w:pStyle w:val="TableContents"/>
              <w:bidi w:val="0"/>
              <w:spacing w:before="0" w:after="283"/>
              <w:ind w:left="0" w:right="0" w:hanging="0"/>
              <w:jc w:val="left"/>
            </w:pPr>
            <w:r>
              <w:t> </w:t>
            </w:r>
          </w:p>
        </w:tc>
        <w:tc>
          <w:tcPr>
            <w:tcW w:w="12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4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restricted stock units</w:t>
            </w:r>
          </w:p>
        </w:tc>
        <w:tc>
          <w:tcPr>
            <w:tcW w:w="60" w:type="dxa"/>
            <w:tcBorders/>
            <w:shd w:fill="CCEEFF" w:val="clear"/>
            <w:vAlign w:val="center"/>
          </w:tcPr>
          <w:p>
            <w:pPr>
              <w:pStyle w:val="TableContents"/>
              <w:bidi w:val="0"/>
              <w:spacing w:before="0" w:after="283"/>
              <w:jc w:val="left"/>
            </w:pPr>
            <w:r>
              <w:t> </w:t>
            </w:r>
          </w:p>
        </w:tc>
        <w:tc>
          <w:tcPr>
            <w:tcW w:w="193" w:type="dxa"/>
            <w:tcBorders/>
            <w:shd w:fill="CCEEFF" w:val="clear"/>
            <w:vAlign w:val="center"/>
          </w:tcPr>
          <w:p>
            <w:pPr>
              <w:pStyle w:val="TableContents"/>
              <w:bidi w:val="0"/>
              <w:spacing w:before="0" w:after="283"/>
              <w:ind w:left="0" w:right="0" w:hanging="0"/>
              <w:jc w:val="left"/>
            </w:pPr>
            <w:r>
              <w:t> </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192" w:type="dxa"/>
            <w:tcBorders/>
            <w:shd w:fill="CCEEFF" w:val="cle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193" w:type="dxa"/>
            <w:tcBorders/>
            <w:shd w:fill="CCEEFF" w:val="clear"/>
            <w:vAlign w:val="center"/>
          </w:tcPr>
          <w:p>
            <w:pPr>
              <w:pStyle w:val="TableContents"/>
              <w:bidi w:val="0"/>
              <w:spacing w:before="0" w:after="283"/>
              <w:ind w:left="0" w:right="0" w:hanging="0"/>
              <w:jc w:val="left"/>
            </w:pPr>
            <w:r>
              <w:t> </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8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1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ind w:left="0" w:right="0" w:hanging="0"/>
              <w:jc w:val="left"/>
            </w:pPr>
            <w:r>
              <w:t> </w:t>
            </w:r>
          </w:p>
        </w:tc>
        <w:tc>
          <w:tcPr>
            <w:tcW w:w="12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2,012</w:t>
            </w:r>
          </w:p>
        </w:tc>
        <w:tc>
          <w:tcPr>
            <w:tcW w:w="82" w:type="dxa"/>
            <w:tcBorders/>
            <w:shd w:fill="CCEEFF" w:val="clear"/>
            <w:vAlign w:val="center"/>
          </w:tcPr>
          <w:p>
            <w:pPr>
              <w:pStyle w:val="TableContents"/>
              <w:bidi w:val="0"/>
              <w:spacing w:before="0" w:after="283"/>
              <w:jc w:val="left"/>
            </w:pPr>
            <w:r>
              <w:t> </w:t>
            </w:r>
          </w:p>
        </w:tc>
      </w:tr>
      <w:tr>
        <w:tc>
          <w:tcPr>
            <w:tcW w:w="4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stock options</w:t>
            </w:r>
          </w:p>
        </w:tc>
        <w:tc>
          <w:tcPr>
            <w:tcW w:w="60" w:type="dxa"/>
            <w:tcBorders/>
            <w:shd w:fill="FFFFFF" w:val="clear"/>
            <w:vAlign w:val="center"/>
          </w:tcPr>
          <w:p>
            <w:pPr>
              <w:pStyle w:val="TableContents"/>
              <w:bidi w:val="0"/>
              <w:spacing w:before="0" w:after="283"/>
              <w:jc w:val="left"/>
            </w:pPr>
            <w:r>
              <w:t> </w:t>
            </w:r>
          </w:p>
        </w:tc>
        <w:tc>
          <w:tcPr>
            <w:tcW w:w="193" w:type="dxa"/>
            <w:tcBorders/>
            <w:shd w:fill="FFFFFF" w:val="clear"/>
            <w:vAlign w:val="center"/>
          </w:tcPr>
          <w:p>
            <w:pPr>
              <w:pStyle w:val="TableContents"/>
              <w:bidi w:val="0"/>
              <w:spacing w:before="0" w:after="283"/>
              <w:ind w:left="0" w:right="0" w:hanging="0"/>
              <w:jc w:val="left"/>
            </w:pPr>
            <w:r>
              <w:t> </w:t>
            </w:r>
          </w:p>
        </w:tc>
        <w:tc>
          <w:tcPr>
            <w:tcW w:w="1076" w:type="dxa"/>
            <w:tcBorders/>
            <w:shd w:fill="FFFFFF" w:val="clear"/>
            <w:vAlign w:val="center"/>
          </w:tcPr>
          <w:p>
            <w:pPr>
              <w:pStyle w:val="TableContents"/>
              <w:bidi w:val="0"/>
              <w:spacing w:before="0" w:after="283"/>
              <w:ind w:left="0" w:right="0" w:hanging="0"/>
              <w:jc w:val="right"/>
            </w:pPr>
            <w:r>
              <w:t>—</w:t>
            </w:r>
          </w:p>
        </w:tc>
        <w:tc>
          <w:tcPr>
            <w:tcW w:w="192" w:type="dxa"/>
            <w:tcBorders/>
            <w:shd w:fill="FFFFFF" w:val="clear"/>
            <w:vAlign w:val="center"/>
          </w:tcPr>
          <w:p>
            <w:pPr>
              <w:pStyle w:val="TableContents"/>
              <w:bidi w:val="0"/>
              <w:spacing w:before="0" w:after="283"/>
              <w:jc w:val="left"/>
            </w:pPr>
            <w:r>
              <w:t> </w:t>
            </w:r>
          </w:p>
        </w:tc>
        <w:tc>
          <w:tcPr>
            <w:tcW w:w="192" w:type="dxa"/>
            <w:tcBorders/>
            <w:shd w:fill="FFFFFF" w:val="clear"/>
            <w:vAlign w:val="center"/>
          </w:tcPr>
          <w:p>
            <w:pPr>
              <w:pStyle w:val="TableContents"/>
              <w:bidi w:val="0"/>
              <w:spacing w:before="0" w:after="283"/>
              <w:jc w:val="left"/>
            </w:pPr>
            <w:r>
              <w:t> </w:t>
            </w:r>
          </w:p>
        </w:tc>
        <w:tc>
          <w:tcPr>
            <w:tcW w:w="193" w:type="dxa"/>
            <w:tcBorders/>
            <w:shd w:fill="FFFFFF" w:val="clear"/>
            <w:vAlign w:val="center"/>
          </w:tcPr>
          <w:p>
            <w:pPr>
              <w:pStyle w:val="TableContents"/>
              <w:bidi w:val="0"/>
              <w:spacing w:before="0" w:after="283"/>
              <w:ind w:left="0" w:right="0" w:hanging="0"/>
              <w:jc w:val="left"/>
            </w:pPr>
            <w:r>
              <w:t> </w:t>
            </w:r>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896" w:type="dxa"/>
            <w:tcBorders/>
            <w:shd w:fill="FFFFFF" w:val="clear"/>
            <w:vAlign w:val="center"/>
          </w:tcPr>
          <w:p>
            <w:pPr>
              <w:pStyle w:val="TableContents"/>
              <w:bidi w:val="0"/>
              <w:spacing w:before="0" w:after="283"/>
              <w:ind w:left="0" w:right="0" w:hanging="0"/>
              <w:jc w:val="right"/>
            </w:pPr>
            <w:r>
              <w:t>—</w:t>
            </w:r>
          </w:p>
        </w:tc>
        <w:tc>
          <w:tcPr>
            <w:tcW w:w="1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ind w:left="0" w:right="0" w:hanging="0"/>
              <w:jc w:val="left"/>
            </w:pPr>
            <w:r>
              <w:t> </w:t>
            </w:r>
          </w:p>
        </w:tc>
        <w:tc>
          <w:tcPr>
            <w:tcW w:w="12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2" w:type="dxa"/>
            <w:tcBorders/>
            <w:shd w:fill="FFFFFF" w:val="clear"/>
            <w:vAlign w:val="center"/>
          </w:tcPr>
          <w:p>
            <w:pPr>
              <w:pStyle w:val="TableContents"/>
              <w:bidi w:val="0"/>
              <w:spacing w:before="0" w:after="283"/>
              <w:jc w:val="left"/>
            </w:pPr>
            <w:r>
              <w:t> </w:t>
            </w:r>
          </w:p>
        </w:tc>
      </w:tr>
      <w:tr>
        <w:tc>
          <w:tcPr>
            <w:tcW w:w="4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issuable under employee stock purchase plan</w:t>
            </w:r>
          </w:p>
        </w:tc>
        <w:tc>
          <w:tcPr>
            <w:tcW w:w="60" w:type="dxa"/>
            <w:tcBorders/>
            <w:shd w:fill="CCEEFF" w:val="clear"/>
            <w:vAlign w:val="center"/>
          </w:tcPr>
          <w:p>
            <w:pPr>
              <w:pStyle w:val="TableContents"/>
              <w:bidi w:val="0"/>
              <w:spacing w:before="0" w:after="283"/>
              <w:jc w:val="left"/>
            </w:pPr>
            <w:r>
              <w:t> </w:t>
            </w:r>
          </w:p>
        </w:tc>
        <w:tc>
          <w:tcPr>
            <w:tcW w:w="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192"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92" w:type="dxa"/>
            <w:tcBorders/>
            <w:shd w:fill="CCEEFF" w:val="clear"/>
            <w:vAlign w:val="center"/>
          </w:tcPr>
          <w:p>
            <w:pPr>
              <w:pStyle w:val="TableContents"/>
              <w:bidi w:val="0"/>
              <w:spacing w:before="0" w:after="283"/>
              <w:jc w:val="left"/>
            </w:pPr>
            <w:r>
              <w:t> </w:t>
            </w:r>
          </w:p>
        </w:tc>
        <w:tc>
          <w:tcPr>
            <w:tcW w:w="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1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60" w:type="dxa"/>
            <w:tcBorders/>
            <w:shd w:fill="CCEEFF" w:val="clear"/>
            <w:vAlign w:val="center"/>
          </w:tcPr>
          <w:p>
            <w:pPr>
              <w:pStyle w:val="TableContents"/>
              <w:bidi w:val="0"/>
              <w:spacing w:before="0" w:after="283"/>
              <w:jc w:val="left"/>
            </w:pPr>
            <w: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2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4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pPr>
            <w:r>
              <w:t> </w:t>
            </w:r>
          </w:p>
        </w:tc>
        <w:tc>
          <w:tcPr>
            <w:tcW w:w="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92" w:type="dxa"/>
            <w:tcBorders/>
            <w:shd w:fill="FFFFFF" w:val="clear"/>
            <w:vAlign w:val="center"/>
          </w:tcPr>
          <w:p>
            <w:pPr>
              <w:pStyle w:val="TableContents"/>
              <w:bidi w:val="0"/>
              <w:spacing w:before="0" w:after="283"/>
              <w:jc w:val="left"/>
            </w:pPr>
            <w:r>
              <w:t> </w:t>
            </w:r>
          </w:p>
        </w:tc>
        <w:tc>
          <w:tcPr>
            <w:tcW w:w="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160" w:type="dxa"/>
            <w:tcBorders/>
            <w:shd w:fill="FFFFFF" w:val="clear"/>
            <w:vAlign w:val="center"/>
          </w:tcPr>
          <w:p>
            <w:pPr>
              <w:pStyle w:val="TableContents"/>
              <w:bidi w:val="0"/>
              <w:spacing w:before="0" w:after="283"/>
              <w:jc w:val="left"/>
            </w:pPr>
            <w: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2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2,088</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CUSTOMER AND GEOGRAPHIC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Operating segments are defined as components of an enterprise about which separate financial information is available that is evaluated regularly by the chief operating decision maker, or group, in deciding how to allocate resources and in assessing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Company’s chief operating decision maker (“CODM”), the Chief Executive Officer, reviews discrete financial information including total revenues, gross profit, and net income (loss) presented on a consolidated basis for purposes of regularly making operating decisions about allocation of resources and financial performance assessment. Further, the CODM reviews and utilizes functional expenses (costs of revenues, research and development, and selling, general and administrative) at the consolidated level to manage the Company’s operations. Other segment items included in the condensed consolidated net income (loss) are amortization of acquired intangible assets, interest expense, interest income and other, net and income tax expense, which are reflected in the condensed consolidated statements of operations and comprehensive income (loss). Accordingly, because it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distinguish between markets, the Company considers itself as one operating and reporting segment, specifically the provision of services for differentiated data and analytics solutions to the semiconductor and electronics industries.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presents segment total revenues, costs of revenues, gross profit, income from operations, and net income (loss) for the periods presented (in thousands):</w:t>
      </w:r>
    </w:p>
    <w:p>
      <w:pPr>
        <w:pStyle w:val="TextBody"/>
        <w:bidi w:val="0"/>
        <w:spacing w:before="0" w:after="0"/>
        <w:ind w:left="0" w:right="0" w:hanging="0"/>
        <w:jc w:val="left"/>
        <w:rPr>
          <w:caps w:val="false"/>
          <w:smallCaps w:val="false"/>
        </w:rPr>
      </w:pPr>
      <w:r>
        <w:rPr>
          <w:caps w:val="false"/>
          <w:smallCaps w:val="false"/>
        </w:rPr>
        <w:t> </w:t>
      </w:r>
    </w:p>
    <w:tbl>
      <w:tblPr>
        <w:tblW w:w="8084" w:type="dxa"/>
        <w:jc w:val="left"/>
        <w:tblInd w:w="0" w:type="dxa"/>
        <w:tblLayout w:type="fixed"/>
        <w:tblCellMar>
          <w:top w:w="0" w:type="dxa"/>
          <w:left w:w="0" w:type="dxa"/>
          <w:bottom w:w="0" w:type="dxa"/>
          <w:right w:w="0" w:type="dxa"/>
        </w:tblCellMar>
      </w:tblPr>
      <w:tblGrid>
        <w:gridCol w:w="1955"/>
        <w:gridCol w:w="60"/>
        <w:gridCol w:w="239"/>
        <w:gridCol w:w="1132"/>
        <w:gridCol w:w="115"/>
        <w:gridCol w:w="115"/>
        <w:gridCol w:w="239"/>
        <w:gridCol w:w="1132"/>
        <w:gridCol w:w="60"/>
        <w:gridCol w:w="60"/>
        <w:gridCol w:w="204"/>
        <w:gridCol w:w="1139"/>
        <w:gridCol w:w="98"/>
        <w:gridCol w:w="98"/>
        <w:gridCol w:w="204"/>
        <w:gridCol w:w="1139"/>
        <w:gridCol w:w="95"/>
      </w:tblGrid>
      <w:tr>
        <w:tc>
          <w:tcPr>
            <w:tcW w:w="195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95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5" w:type="dxa"/>
            <w:tcBorders/>
            <w:shd w:fill="FFFFFF" w:val="clear"/>
            <w:vAlign w:val="center"/>
          </w:tcPr>
          <w:p>
            <w:pPr>
              <w:pStyle w:val="TableContents"/>
              <w:bidi w:val="0"/>
              <w:spacing w:before="0" w:after="283"/>
              <w:ind w:left="0" w:right="0" w:hanging="0"/>
              <w:jc w:val="left"/>
            </w:pPr>
            <w: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98"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98" w:type="dxa"/>
            <w:tcBorders/>
            <w:shd w:fill="FFFFFF" w:val="clear"/>
            <w:vAlign w:val="center"/>
          </w:tcPr>
          <w:p>
            <w:pPr>
              <w:pStyle w:val="TableContents"/>
              <w:bidi w:val="0"/>
              <w:spacing w:before="0" w:after="283"/>
              <w:ind w:left="0" w:right="0" w:hanging="0"/>
              <w:jc w:val="left"/>
            </w:pPr>
            <w:r>
              <w:t> </w:t>
            </w:r>
          </w:p>
        </w:tc>
        <w:tc>
          <w:tcPr>
            <w:tcW w:w="13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pPr>
            <w: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68,334</w:t>
            </w:r>
          </w:p>
        </w:tc>
        <w:tc>
          <w:tcPr>
            <w:tcW w:w="115" w:type="dxa"/>
            <w:tcBorders/>
            <w:shd w:fill="CCEEFF" w:val="clear"/>
            <w:vAlign w:val="center"/>
          </w:tcPr>
          <w:p>
            <w:pPr>
              <w:pStyle w:val="TableContents"/>
              <w:bidi w:val="0"/>
              <w:spacing w:before="0" w:after="283"/>
              <w:jc w:val="left"/>
            </w:pPr>
            <w:r>
              <w:t> </w:t>
            </w:r>
          </w:p>
        </w:tc>
        <w:tc>
          <w:tcPr>
            <w:tcW w:w="115" w:type="dxa"/>
            <w:tcBorders/>
            <w:shd w:fill="CCEEFF" w:val="clear"/>
            <w:vAlign w:val="center"/>
          </w:tcPr>
          <w:p>
            <w:pPr>
              <w:pStyle w:val="TableContents"/>
              <w:bidi w:val="0"/>
              <w:spacing w:before="0" w:after="283"/>
              <w:ind w:left="0" w:right="0" w:hanging="0"/>
              <w:jc w:val="left"/>
            </w:pPr>
            <w: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57,115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189,993</w:t>
            </w:r>
          </w:p>
        </w:tc>
        <w:tc>
          <w:tcPr>
            <w:tcW w:w="98" w:type="dxa"/>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ind w:left="0" w:right="0" w:hanging="0"/>
              <w:jc w:val="left"/>
            </w:pPr>
            <w: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156,621</w:t>
            </w:r>
          </w:p>
        </w:tc>
        <w:tc>
          <w:tcPr>
            <w:tcW w:w="95" w:type="dxa"/>
            <w:tcBorders/>
            <w:shd w:fill="CCEEFF" w:val="clear"/>
            <w:vAlign w:val="center"/>
          </w:tcPr>
          <w:p>
            <w:pPr>
              <w:pStyle w:val="TableContents"/>
              <w:bidi w:val="0"/>
              <w:spacing w:before="0" w:after="283"/>
              <w:jc w:val="left"/>
            </w:pPr>
            <w:r>
              <w:t> </w:t>
            </w:r>
          </w:p>
        </w:tc>
      </w:tr>
      <w:tr>
        <w:tc>
          <w:tcPr>
            <w:tcW w:w="1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of revenues</w:t>
            </w:r>
          </w:p>
        </w:tc>
        <w:tc>
          <w:tcPr>
            <w:tcW w:w="60" w:type="dxa"/>
            <w:tcBorders/>
            <w:shd w:fill="FFFFFF" w:val="clear"/>
            <w:vAlign w:val="center"/>
          </w:tcPr>
          <w:p>
            <w:pPr>
              <w:pStyle w:val="TableContents"/>
              <w:bidi w:val="0"/>
              <w:spacing w:before="0" w:after="283"/>
              <w:ind w:left="0" w:right="0" w:hanging="0"/>
              <w:jc w:val="left"/>
            </w:pPr>
            <w:r>
              <w:t> </w:t>
            </w:r>
          </w:p>
        </w:tc>
        <w:tc>
          <w:tcPr>
            <w:tcW w:w="2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18,593</w:t>
            </w:r>
          </w:p>
        </w:tc>
        <w:tc>
          <w:tcPr>
            <w:tcW w:w="115" w:type="dxa"/>
            <w:tcBorders/>
            <w:shd w:fill="FFFFFF" w:val="clear"/>
            <w:vAlign w:val="center"/>
          </w:tcPr>
          <w:p>
            <w:pPr>
              <w:pStyle w:val="TableContents"/>
              <w:bidi w:val="0"/>
              <w:spacing w:before="0" w:after="283"/>
              <w:jc w:val="left"/>
            </w:pPr>
            <w:r>
              <w:t> </w:t>
            </w:r>
          </w:p>
        </w:tc>
        <w:tc>
          <w:tcPr>
            <w:tcW w:w="115" w:type="dxa"/>
            <w:tcBorders/>
            <w:shd w:fill="FFFFFF" w:val="clear"/>
            <w:vAlign w:val="center"/>
          </w:tcPr>
          <w:p>
            <w:pPr>
              <w:pStyle w:val="TableContents"/>
              <w:bidi w:val="0"/>
              <w:spacing w:before="0" w:after="283"/>
              <w:ind w:left="0" w:right="0" w:hanging="0"/>
              <w:jc w:val="left"/>
            </w:pPr>
            <w:r>
              <w:t> </w:t>
            </w:r>
          </w:p>
        </w:tc>
        <w:tc>
          <w:tcPr>
            <w:tcW w:w="2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54,638</w:t>
            </w:r>
          </w:p>
        </w:tc>
        <w:tc>
          <w:tcPr>
            <w:tcW w:w="98" w:type="dxa"/>
            <w:tcBorders/>
            <w:shd w:fill="FFFFFF" w:val="clear"/>
            <w:vAlign w:val="center"/>
          </w:tcPr>
          <w:p>
            <w:pPr>
              <w:pStyle w:val="TableContents"/>
              <w:bidi w:val="0"/>
              <w:spacing w:before="0" w:after="283"/>
              <w:jc w:val="left"/>
            </w:pPr>
            <w:r>
              <w:t> </w:t>
            </w:r>
          </w:p>
        </w:tc>
        <w:tc>
          <w:tcPr>
            <w:tcW w:w="98" w:type="dxa"/>
            <w:tcBorders/>
            <w:shd w:fill="FFFFFF" w:val="clear"/>
            <w:vAlign w:val="center"/>
          </w:tcPr>
          <w:p>
            <w:pPr>
              <w:pStyle w:val="TableContents"/>
              <w:bidi w:val="0"/>
              <w:spacing w:before="0" w:after="283"/>
              <w:ind w:left="0" w:right="0" w:hanging="0"/>
              <w:jc w:val="left"/>
            </w:pPr>
            <w: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43,681</w:t>
            </w:r>
          </w:p>
        </w:tc>
        <w:tc>
          <w:tcPr>
            <w:tcW w:w="95" w:type="dxa"/>
            <w:tcBorders/>
            <w:shd w:fill="FFFFFF" w:val="clear"/>
            <w:vAlign w:val="center"/>
          </w:tcPr>
          <w:p>
            <w:pPr>
              <w:pStyle w:val="TableContents"/>
              <w:bidi w:val="0"/>
              <w:spacing w:before="0" w:after="283"/>
              <w:jc w:val="left"/>
            </w:pPr>
            <w:r>
              <w:t> </w:t>
            </w:r>
          </w:p>
        </w:tc>
      </w:tr>
      <w:tr>
        <w:tc>
          <w:tcPr>
            <w:tcW w:w="1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ind w:left="0" w:right="0" w:hanging="0"/>
              <w:jc w:val="left"/>
            </w:pPr>
            <w: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49,741</w:t>
            </w:r>
          </w:p>
        </w:tc>
        <w:tc>
          <w:tcPr>
            <w:tcW w:w="115" w:type="dxa"/>
            <w:tcBorders/>
            <w:shd w:fill="CCEEFF" w:val="clear"/>
            <w:vAlign w:val="center"/>
          </w:tcPr>
          <w:p>
            <w:pPr>
              <w:pStyle w:val="TableContents"/>
              <w:bidi w:val="0"/>
              <w:spacing w:before="0" w:after="283"/>
              <w:jc w:val="left"/>
            </w:pPr>
            <w:r>
              <w:t> </w:t>
            </w:r>
          </w:p>
        </w:tc>
        <w:tc>
          <w:tcPr>
            <w:tcW w:w="115" w:type="dxa"/>
            <w:tcBorders/>
            <w:shd w:fill="CCEEFF" w:val="clear"/>
            <w:vAlign w:val="center"/>
          </w:tcPr>
          <w:p>
            <w:pPr>
              <w:pStyle w:val="TableContents"/>
              <w:bidi w:val="0"/>
              <w:spacing w:before="0" w:after="283"/>
              <w:ind w:left="0" w:right="0" w:hanging="0"/>
              <w:jc w:val="left"/>
            </w:pPr>
            <w: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41,275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135,355</w:t>
            </w:r>
          </w:p>
        </w:tc>
        <w:tc>
          <w:tcPr>
            <w:tcW w:w="98" w:type="dxa"/>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ind w:left="0" w:right="0" w:hanging="0"/>
              <w:jc w:val="left"/>
            </w:pPr>
            <w: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112,940</w:t>
            </w:r>
          </w:p>
        </w:tc>
        <w:tc>
          <w:tcPr>
            <w:tcW w:w="95" w:type="dxa"/>
            <w:tcBorders/>
            <w:shd w:fill="CCEEFF" w:val="clear"/>
            <w:vAlign w:val="center"/>
          </w:tcPr>
          <w:p>
            <w:pPr>
              <w:pStyle w:val="TableContents"/>
              <w:bidi w:val="0"/>
              <w:spacing w:before="0" w:after="283"/>
              <w:jc w:val="left"/>
            </w:pPr>
            <w:r>
              <w:t> </w:t>
            </w:r>
          </w:p>
        </w:tc>
      </w:tr>
      <w:tr>
        <w:tc>
          <w:tcPr>
            <w:tcW w:w="1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w:t>
            </w:r>
          </w:p>
        </w:tc>
        <w:tc>
          <w:tcPr>
            <w:tcW w:w="60" w:type="dxa"/>
            <w:tcBorders/>
            <w:shd w:fill="FFFFFF" w:val="clear"/>
            <w:vAlign w:val="center"/>
          </w:tcPr>
          <w:p>
            <w:pPr>
              <w:pStyle w:val="TableContents"/>
              <w:bidi w:val="0"/>
              <w:spacing w:before="0" w:after="283"/>
              <w:jc w:val="left"/>
            </w:pPr>
            <w:r>
              <w:t> </w:t>
            </w:r>
          </w:p>
        </w:tc>
        <w:tc>
          <w:tcPr>
            <w:tcW w:w="2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8,286</w:t>
            </w:r>
          </w:p>
        </w:tc>
        <w:tc>
          <w:tcPr>
            <w:tcW w:w="115" w:type="dxa"/>
            <w:tcBorders/>
            <w:shd w:fill="FFFFFF" w:val="clear"/>
            <w:vAlign w:val="center"/>
          </w:tcPr>
          <w:p>
            <w:pPr>
              <w:pStyle w:val="TableContents"/>
              <w:bidi w:val="0"/>
              <w:spacing w:before="0" w:after="283"/>
              <w:jc w:val="left"/>
            </w:pPr>
            <w:r>
              <w:t> </w:t>
            </w:r>
          </w:p>
        </w:tc>
        <w:tc>
          <w:tcPr>
            <w:tcW w:w="115" w:type="dxa"/>
            <w:tcBorders/>
            <w:shd w:fill="FFFFFF" w:val="clear"/>
            <w:vAlign w:val="center"/>
          </w:tcPr>
          <w:p>
            <w:pPr>
              <w:pStyle w:val="TableContents"/>
              <w:bidi w:val="0"/>
              <w:spacing w:before="0" w:after="283"/>
              <w:jc w:val="left"/>
            </w:pPr>
            <w:r>
              <w:t> </w:t>
            </w:r>
          </w:p>
        </w:tc>
        <w:tc>
          <w:tcPr>
            <w:tcW w:w="2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19,663</w:t>
            </w:r>
          </w:p>
        </w:tc>
        <w:tc>
          <w:tcPr>
            <w:tcW w:w="98" w:type="dxa"/>
            <w:tcBorders/>
            <w:shd w:fill="FFFFFF" w:val="clear"/>
            <w:vAlign w:val="center"/>
          </w:tcPr>
          <w:p>
            <w:pPr>
              <w:pStyle w:val="TableContents"/>
              <w:bidi w:val="0"/>
              <w:spacing w:before="0" w:after="283"/>
              <w:jc w:val="left"/>
            </w:pPr>
            <w:r>
              <w:t> </w:t>
            </w:r>
          </w:p>
        </w:tc>
        <w:tc>
          <w:tcPr>
            <w:tcW w:w="98"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2,389</w:t>
            </w:r>
          </w:p>
        </w:tc>
        <w:tc>
          <w:tcPr>
            <w:tcW w:w="95" w:type="dxa"/>
            <w:tcBorders/>
            <w:shd w:fill="FFFFFF" w:val="clear"/>
            <w:vAlign w:val="center"/>
          </w:tcPr>
          <w:p>
            <w:pPr>
              <w:pStyle w:val="TableContents"/>
              <w:bidi w:val="0"/>
              <w:spacing w:before="0" w:after="283"/>
              <w:jc w:val="left"/>
            </w:pPr>
            <w:r>
              <w:t> </w:t>
            </w:r>
          </w:p>
        </w:tc>
      </w:tr>
      <w:tr>
        <w:tc>
          <w:tcPr>
            <w:tcW w:w="1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pPr>
            <w: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6,841</w:t>
            </w:r>
          </w:p>
        </w:tc>
        <w:tc>
          <w:tcPr>
            <w:tcW w:w="115" w:type="dxa"/>
            <w:tcBorders/>
            <w:shd w:fill="CCEEFF" w:val="clear"/>
            <w:vAlign w:val="center"/>
          </w:tcPr>
          <w:p>
            <w:pPr>
              <w:pStyle w:val="TableContents"/>
              <w:bidi w:val="0"/>
              <w:spacing w:before="0" w:after="283"/>
              <w:jc w:val="left"/>
            </w:pPr>
            <w:r>
              <w:t> </w:t>
            </w:r>
          </w:p>
        </w:tc>
        <w:tc>
          <w:tcPr>
            <w:tcW w:w="115" w:type="dxa"/>
            <w:tcBorders/>
            <w:shd w:fill="CCEEFF" w:val="clear"/>
            <w:vAlign w:val="center"/>
          </w:tcPr>
          <w:p>
            <w:pPr>
              <w:pStyle w:val="TableContents"/>
              <w:bidi w:val="0"/>
              <w:spacing w:before="0" w:after="283"/>
              <w:ind w:left="0" w:right="0" w:hanging="0"/>
              <w:jc w:val="left"/>
            </w:pPr>
            <w: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15,903</w:t>
            </w:r>
          </w:p>
        </w:tc>
        <w:tc>
          <w:tcPr>
            <w:tcW w:w="98" w:type="dxa"/>
            <w:tcBorders/>
            <w:shd w:fill="CCEEFF" w:val="clear"/>
            <w:vAlign w:val="center"/>
          </w:tcPr>
          <w:p>
            <w:pPr>
              <w:pStyle w:val="TableContents"/>
              <w:bidi w:val="0"/>
              <w:spacing w:before="0" w:after="283"/>
              <w:jc w:val="left"/>
            </w:pPr>
            <w:r>
              <w:t> </w:t>
            </w:r>
          </w:p>
        </w:tc>
        <w:tc>
          <w:tcPr>
            <w:tcW w:w="98" w:type="dxa"/>
            <w:tcBorders/>
            <w:shd w:fill="CCEEFF" w:val="clear"/>
            <w:vAlign w:val="center"/>
          </w:tcPr>
          <w:p>
            <w:pPr>
              <w:pStyle w:val="TableContents"/>
              <w:bidi w:val="0"/>
              <w:spacing w:before="0" w:after="283"/>
              <w:ind w:left="0" w:right="0" w:hanging="0"/>
              <w:jc w:val="left"/>
            </w:pPr>
            <w: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Revenues from individual customers, each of which was approximately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more of the Company’s consolidated total revenues, were as follows:</w:t>
      </w:r>
    </w:p>
    <w:p>
      <w:pPr>
        <w:pStyle w:val="TextBody"/>
        <w:bidi w:val="0"/>
        <w:spacing w:before="0" w:after="0"/>
        <w:ind w:left="0" w:right="0" w:hanging="0"/>
        <w:jc w:val="left"/>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860"/>
        <w:gridCol w:w="60"/>
        <w:gridCol w:w="213"/>
        <w:gridCol w:w="828"/>
        <w:gridCol w:w="665"/>
        <w:gridCol w:w="213"/>
        <w:gridCol w:w="213"/>
        <w:gridCol w:w="839"/>
        <w:gridCol w:w="185"/>
        <w:gridCol w:w="60"/>
        <w:gridCol w:w="207"/>
        <w:gridCol w:w="803"/>
        <w:gridCol w:w="645"/>
        <w:gridCol w:w="207"/>
        <w:gridCol w:w="207"/>
        <w:gridCol w:w="813"/>
        <w:gridCol w:w="200"/>
      </w:tblGrid>
      <w:tr>
        <w:tc>
          <w:tcPr>
            <w:tcW w:w="8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7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Three Months Ended September 30,</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Nine Months Ended September 30,</w:t>
            </w:r>
          </w:p>
        </w:tc>
        <w:tc>
          <w:tcPr>
            <w:tcW w:w="200" w:type="dxa"/>
            <w:tcBorders/>
            <w:shd w:fill="FFFFFF" w:val="clear"/>
            <w:vAlign w:val="center"/>
          </w:tcPr>
          <w:p>
            <w:pPr>
              <w:pStyle w:val="TableContents"/>
              <w:bidi w:val="0"/>
              <w:spacing w:before="0" w:after="283"/>
              <w:jc w:val="left"/>
            </w:pPr>
            <w:r>
              <w:t> </w:t>
            </w:r>
          </w:p>
        </w:tc>
      </w:tr>
      <w:tr>
        <w:tc>
          <w:tcPr>
            <w:tcW w:w="8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Customer</w:t>
            </w:r>
          </w:p>
        </w:tc>
        <w:tc>
          <w:tcPr>
            <w:tcW w:w="60" w:type="dxa"/>
            <w:tcBorders/>
            <w:shd w:fill="FFFFFF" w:val="clear"/>
            <w:vAlign w:val="center"/>
          </w:tcPr>
          <w:p>
            <w:pPr>
              <w:pStyle w:val="TableContents"/>
              <w:bidi w:val="0"/>
              <w:spacing w:before="0" w:after="283"/>
              <w:ind w:left="0" w:right="0" w:hanging="0"/>
              <w:jc w:val="left"/>
            </w:pPr>
            <w:r>
              <w:t> </w:t>
            </w:r>
          </w:p>
        </w:tc>
        <w:tc>
          <w:tcPr>
            <w:tcW w:w="10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665" w:type="dxa"/>
            <w:tcBorders/>
            <w:shd w:fill="FFFFFF" w:val="clear"/>
            <w:vAlign w:val="center"/>
          </w:tcPr>
          <w:p>
            <w:pPr>
              <w:pStyle w:val="TableContents"/>
              <w:bidi w:val="0"/>
              <w:spacing w:before="0" w:after="283"/>
              <w:jc w:val="left"/>
            </w:pPr>
            <w:r>
              <w:t> </w:t>
            </w:r>
          </w:p>
        </w:tc>
        <w:tc>
          <w:tcPr>
            <w:tcW w:w="213" w:type="dxa"/>
            <w:tcBorders/>
            <w:shd w:fill="FFFFFF" w:val="clear"/>
            <w:vAlign w:val="center"/>
          </w:tcPr>
          <w:p>
            <w:pPr>
              <w:pStyle w:val="TableContents"/>
              <w:bidi w:val="0"/>
              <w:spacing w:before="0" w:after="283"/>
              <w:ind w:left="0" w:right="0" w:hanging="0"/>
              <w:jc w:val="left"/>
            </w:pPr>
            <w:r>
              <w:t> </w:t>
            </w:r>
          </w:p>
        </w:tc>
        <w:tc>
          <w:tcPr>
            <w:tcW w:w="10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645" w:type="dxa"/>
            <w:tcBorders/>
            <w:shd w:fill="FFFFFF" w:val="clear"/>
            <w:vAlign w:val="center"/>
          </w:tcPr>
          <w:p>
            <w:pPr>
              <w:pStyle w:val="TableContents"/>
              <w:bidi w:val="0"/>
              <w:spacing w:before="0" w:after="283"/>
              <w:jc w:val="left"/>
            </w:pPr>
            <w:r>
              <w:t> </w:t>
            </w:r>
          </w:p>
        </w:tc>
        <w:tc>
          <w:tcPr>
            <w:tcW w:w="207" w:type="dxa"/>
            <w:tcBorders/>
            <w:shd w:fill="FFFFFF" w:val="clear"/>
            <w:vAlign w:val="center"/>
          </w:tcPr>
          <w:p>
            <w:pPr>
              <w:pStyle w:val="TableContents"/>
              <w:bidi w:val="0"/>
              <w:spacing w:before="0" w:after="283"/>
              <w:ind w:left="0" w:right="0" w:hanging="0"/>
              <w:jc w:val="left"/>
            </w:pPr>
            <w:r>
              <w:t> </w:t>
            </w:r>
          </w:p>
        </w:tc>
        <w:tc>
          <w:tcPr>
            <w:tcW w:w="10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200" w:type="dxa"/>
            <w:tcBorders/>
            <w:shd w:fill="FFFFFF" w:val="clear"/>
            <w:vAlign w:val="center"/>
          </w:tcPr>
          <w:p>
            <w:pPr>
              <w:pStyle w:val="TableContents"/>
              <w:bidi w:val="0"/>
              <w:spacing w:before="0" w:after="283"/>
              <w:jc w:val="left"/>
            </w:pPr>
            <w:r>
              <w:t> </w:t>
            </w:r>
          </w:p>
        </w:tc>
      </w:tr>
      <w:t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shd w:fill="CCEEFF" w:val="clear"/>
            <w:vAlign w:val="center"/>
          </w:tcPr>
          <w:p>
            <w:pPr>
              <w:pStyle w:val="TableContents"/>
              <w:bidi w:val="0"/>
              <w:spacing w:before="0" w:after="283"/>
              <w:jc w:val="left"/>
            </w:pPr>
            <w:r>
              <w:t> </w:t>
            </w:r>
          </w:p>
        </w:tc>
        <w:tc>
          <w:tcPr>
            <w:tcW w:w="213" w:type="dxa"/>
            <w:tcBorders/>
            <w:shd w:fill="CCEEFF" w:val="clear"/>
            <w:vAlign w:val="center"/>
          </w:tcPr>
          <w:p>
            <w:pPr>
              <w:pStyle w:val="TableContents"/>
              <w:bidi w:val="0"/>
              <w:spacing w:before="0" w:after="283"/>
              <w:ind w:left="0" w:right="0" w:hanging="0"/>
              <w:jc w:val="left"/>
            </w:pPr>
            <w: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3" w:type="dxa"/>
            <w:tcBorders/>
            <w:shd w:fill="CCEEFF" w:val="clear"/>
            <w:vAlign w:val="center"/>
          </w:tcPr>
          <w:p>
            <w:pPr>
              <w:pStyle w:val="TableContents"/>
              <w:bidi w:val="0"/>
              <w:spacing w:before="0" w:after="283"/>
              <w:jc w:val="left"/>
            </w:pPr>
            <w:r>
              <w:t> </w:t>
            </w:r>
          </w:p>
        </w:tc>
        <w:tc>
          <w:tcPr>
            <w:tcW w:w="213" w:type="dxa"/>
            <w:tcBorders/>
            <w:shd w:fill="CCEEFF" w:val="clear"/>
            <w:vAlign w:val="center"/>
          </w:tcPr>
          <w:p>
            <w:pPr>
              <w:pStyle w:val="TableContents"/>
              <w:bidi w:val="0"/>
              <w:spacing w:before="0" w:after="283"/>
              <w:ind w:left="0" w:right="0" w:hanging="0"/>
              <w:jc w:val="left"/>
            </w:pPr>
            <w:r>
              <w:t> </w:t>
            </w:r>
          </w:p>
        </w:tc>
        <w:tc>
          <w:tcPr>
            <w:tcW w:w="8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ind w:left="0" w:right="0" w:hanging="0"/>
              <w:jc w:val="left"/>
            </w:pPr>
            <w: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6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7"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ind w:left="0" w:right="0" w:hanging="0"/>
              <w:jc w:val="left"/>
            </w:pPr>
            <w:r>
              <w:t> </w:t>
            </w:r>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60" w:type="dxa"/>
            <w:tcBorders/>
            <w:shd w:fill="FFFFFF" w:val="clear"/>
            <w:vAlign w:val="center"/>
          </w:tcPr>
          <w:p>
            <w:pPr>
              <w:pStyle w:val="TableContents"/>
              <w:bidi w:val="0"/>
              <w:spacing w:before="0" w:after="283"/>
              <w:jc w:val="left"/>
            </w:pPr>
            <w:r>
              <w:t> </w:t>
            </w:r>
          </w:p>
        </w:tc>
        <w:tc>
          <w:tcPr>
            <w:tcW w:w="213" w:type="dxa"/>
            <w:tcBorders/>
            <w:shd w:fill="FFFFFF" w:val="clear"/>
            <w:vAlign w:val="center"/>
          </w:tcPr>
          <w:p>
            <w:pPr>
              <w:pStyle w:val="TableContents"/>
              <w:bidi w:val="0"/>
              <w:spacing w:before="0" w:after="283"/>
              <w:ind w:left="0" w:right="0" w:hanging="0"/>
              <w:jc w:val="left"/>
            </w:pPr>
            <w: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3" w:type="dxa"/>
            <w:tcBorders/>
            <w:shd w:fill="FFFFFF" w:val="clear"/>
            <w:vAlign w:val="center"/>
          </w:tcPr>
          <w:p>
            <w:pPr>
              <w:pStyle w:val="TableContents"/>
              <w:bidi w:val="0"/>
              <w:spacing w:before="0" w:after="283"/>
              <w:jc w:val="left"/>
            </w:pPr>
            <w:r>
              <w:t> </w:t>
            </w:r>
          </w:p>
        </w:tc>
        <w:tc>
          <w:tcPr>
            <w:tcW w:w="213" w:type="dxa"/>
            <w:tcBorders/>
            <w:shd w:fill="FFFFFF" w:val="clear"/>
            <w:vAlign w:val="center"/>
          </w:tcPr>
          <w:p>
            <w:pPr>
              <w:pStyle w:val="TableContents"/>
              <w:bidi w:val="0"/>
              <w:spacing w:before="0" w:after="283"/>
              <w:ind w:left="0" w:right="0" w:hanging="0"/>
              <w:jc w:val="left"/>
            </w:pPr>
            <w:r>
              <w:t> </w:t>
            </w:r>
          </w:p>
        </w:tc>
        <w:tc>
          <w:tcPr>
            <w:tcW w:w="8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207" w:type="dxa"/>
            <w:tcBorders/>
            <w:shd w:fill="FFFFFF" w:val="clear"/>
            <w:vAlign w:val="center"/>
          </w:tcPr>
          <w:p>
            <w:pPr>
              <w:pStyle w:val="TableContents"/>
              <w:bidi w:val="0"/>
              <w:spacing w:before="0" w:after="283"/>
              <w:ind w:left="0" w:right="0" w:hanging="0"/>
              <w:jc w:val="left"/>
            </w:pPr>
            <w: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7" w:type="dxa"/>
            <w:tcBorders/>
            <w:shd w:fill="FFFFFF" w:val="clear"/>
            <w:vAlign w:val="center"/>
          </w:tcPr>
          <w:p>
            <w:pPr>
              <w:pStyle w:val="TableContents"/>
              <w:bidi w:val="0"/>
              <w:spacing w:before="0" w:after="283"/>
              <w:jc w:val="left"/>
            </w:pPr>
            <w:r>
              <w:t> </w:t>
            </w:r>
          </w:p>
        </w:tc>
        <w:tc>
          <w:tcPr>
            <w:tcW w:w="207" w:type="dxa"/>
            <w:tcBorders/>
            <w:shd w:fill="FFFFFF" w:val="clear"/>
            <w:vAlign w:val="center"/>
          </w:tcPr>
          <w:p>
            <w:pPr>
              <w:pStyle w:val="TableContents"/>
              <w:bidi w:val="0"/>
              <w:spacing w:before="0" w:after="283"/>
              <w:ind w:left="0" w:right="0" w:hanging="0"/>
              <w:jc w:val="left"/>
            </w:pPr>
            <w:r>
              <w:t> </w:t>
            </w:r>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60" w:type="dxa"/>
            <w:tcBorders/>
            <w:shd w:fill="CCEEFF" w:val="clear"/>
            <w:vAlign w:val="center"/>
          </w:tcPr>
          <w:p>
            <w:pPr>
              <w:pStyle w:val="TableContents"/>
              <w:bidi w:val="0"/>
              <w:spacing w:before="0" w:after="283"/>
              <w:jc w:val="left"/>
            </w:pPr>
            <w:r>
              <w:t> </w:t>
            </w:r>
          </w:p>
        </w:tc>
        <w:tc>
          <w:tcPr>
            <w:tcW w:w="213" w:type="dxa"/>
            <w:tcBorders/>
            <w:shd w:fill="CCEEFF" w:val="clear"/>
            <w:vAlign w:val="center"/>
          </w:tcPr>
          <w:p>
            <w:pPr>
              <w:pStyle w:val="TableContents"/>
              <w:bidi w:val="0"/>
              <w:spacing w:before="0" w:after="283"/>
              <w:ind w:left="0" w:right="0" w:hanging="0"/>
              <w:jc w:val="left"/>
            </w:pPr>
            <w:r>
              <w:t> </w:t>
            </w:r>
          </w:p>
        </w:tc>
        <w:tc>
          <w:tcPr>
            <w:tcW w:w="828" w:type="dxa"/>
            <w:tcBorders/>
            <w:shd w:fill="CCEEFF" w:val="clear"/>
            <w:vAlign w:val="center"/>
          </w:tcPr>
          <w:p>
            <w:pPr>
              <w:pStyle w:val="TableContents"/>
              <w:bidi w:val="0"/>
              <w:spacing w:before="0" w:after="283"/>
              <w:ind w:left="0" w:right="0" w:hanging="0"/>
              <w:jc w:val="right"/>
            </w:pPr>
            <w:r>
              <w:rPr>
                <w:rStyle w:val="Emphasis"/>
                <w:rFonts w:ascii="Times New Roman;Times;serif" w:hAnsi="Times New Roman;Times;serif"/>
                <w:sz w:val="20"/>
              </w:rPr>
              <w:t>*</w:t>
            </w:r>
          </w:p>
        </w:tc>
        <w:tc>
          <w:tcPr>
            <w:tcW w:w="6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3" w:type="dxa"/>
            <w:tcBorders/>
            <w:shd w:fill="CCEEFF" w:val="clear"/>
            <w:vAlign w:val="center"/>
          </w:tcPr>
          <w:p>
            <w:pPr>
              <w:pStyle w:val="TableContents"/>
              <w:bidi w:val="0"/>
              <w:spacing w:before="0" w:after="283"/>
              <w:jc w:val="left"/>
            </w:pPr>
            <w:r>
              <w:t> </w:t>
            </w:r>
          </w:p>
        </w:tc>
        <w:tc>
          <w:tcPr>
            <w:tcW w:w="213" w:type="dxa"/>
            <w:tcBorders/>
            <w:shd w:fill="CCEEFF" w:val="clear"/>
            <w:vAlign w:val="center"/>
          </w:tcPr>
          <w:p>
            <w:pPr>
              <w:pStyle w:val="TableContents"/>
              <w:bidi w:val="0"/>
              <w:spacing w:before="0" w:after="283"/>
              <w:ind w:left="0" w:right="0" w:hanging="0"/>
              <w:jc w:val="left"/>
            </w:pPr>
            <w:r>
              <w:t> </w:t>
            </w:r>
          </w:p>
        </w:tc>
        <w:tc>
          <w:tcPr>
            <w:tcW w:w="839" w:type="dxa"/>
            <w:tcBorders/>
            <w:shd w:fill="CCEEFF" w:val="clear"/>
            <w:vAlign w:val="center"/>
          </w:tcPr>
          <w:p>
            <w:pPr>
              <w:pStyle w:val="TableContents"/>
              <w:bidi w:val="0"/>
              <w:spacing w:before="0" w:after="283"/>
              <w:ind w:left="0" w:right="0" w:hanging="0"/>
              <w:jc w:val="right"/>
            </w:pPr>
            <w:r>
              <w:rPr>
                <w:rStyle w:val="Emphasis"/>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ind w:left="0" w:right="0" w:hanging="0"/>
              <w:jc w:val="left"/>
            </w:pPr>
            <w:r>
              <w:t> </w:t>
            </w:r>
          </w:p>
        </w:tc>
        <w:tc>
          <w:tcPr>
            <w:tcW w:w="803" w:type="dxa"/>
            <w:tcBorders/>
            <w:shd w:fill="CCEEFF" w:val="clear"/>
            <w:vAlign w:val="center"/>
          </w:tcPr>
          <w:p>
            <w:pPr>
              <w:pStyle w:val="TableContents"/>
              <w:bidi w:val="0"/>
              <w:spacing w:before="0" w:after="283"/>
              <w:ind w:left="0" w:right="0" w:hanging="0"/>
              <w:jc w:val="right"/>
            </w:pPr>
            <w:r>
              <w:rPr>
                <w:rStyle w:val="Emphasis"/>
                <w:rFonts w:ascii="Times New Roman;Times;serif" w:hAnsi="Times New Roman;Times;serif"/>
                <w:sz w:val="20"/>
              </w:rPr>
              <w:t>*</w:t>
            </w:r>
          </w:p>
        </w:tc>
        <w:tc>
          <w:tcPr>
            <w:tcW w:w="6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7" w:type="dxa"/>
            <w:tcBorders/>
            <w:shd w:fill="CCEEFF" w:val="clear"/>
            <w:vAlign w:val="center"/>
          </w:tcPr>
          <w:p>
            <w:pPr>
              <w:pStyle w:val="TableContents"/>
              <w:bidi w:val="0"/>
              <w:spacing w:before="0" w:after="283"/>
              <w:jc w:val="left"/>
            </w:pPr>
            <w:r>
              <w:t> </w:t>
            </w:r>
          </w:p>
        </w:tc>
        <w:tc>
          <w:tcPr>
            <w:tcW w:w="207" w:type="dxa"/>
            <w:tcBorders/>
            <w:shd w:fill="CCEEFF" w:val="clear"/>
            <w:vAlign w:val="center"/>
          </w:tcPr>
          <w:p>
            <w:pPr>
              <w:pStyle w:val="TableContents"/>
              <w:bidi w:val="0"/>
              <w:spacing w:before="0" w:after="283"/>
              <w:ind w:left="0" w:right="0" w:hanging="0"/>
              <w:jc w:val="left"/>
            </w:pPr>
            <w:r>
              <w:t> </w:t>
            </w:r>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TextBody"/>
        <w:bidi w:val="0"/>
        <w:spacing w:before="0" w:after="0"/>
        <w:ind w:left="720" w:right="0" w:hanging="360"/>
        <w:jc w:val="both"/>
      </w:pPr>
      <w:r>
        <w:rPr>
          <w:rFonts w:ascii="Times New Roman" w:hAnsi="Times New Roman"/>
          <w:caps w:val="false"/>
          <w:smallCaps w:val="false"/>
          <w:sz w:val="20"/>
        </w:rPr>
        <w:t xml:space="preserve">* represents less than </w:t>
      </w:r>
      <w:r>
        <w:rPr>
          <w:rStyle w:val="Emphasis"/>
          <w:rFonts w:ascii="Times New Roman" w:hAnsi="Times New Roman"/>
          <w:caps w:val="false"/>
          <w:smallCaps w:val="false"/>
          <w:sz w:val="2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Gross accounts receivable balances (including amounts that are unbilled) from individual customers, each of which was approximately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more of the Company’s gross accounts receivable balance, were as follows:</w:t>
      </w:r>
    </w:p>
    <w:p>
      <w:pPr>
        <w:pStyle w:val="TextBody"/>
        <w:bidi w:val="0"/>
        <w:spacing w:before="0" w:after="0"/>
        <w:ind w:left="0" w:right="0" w:hanging="0"/>
        <w:jc w:val="left"/>
        <w:rPr>
          <w:caps w:val="false"/>
          <w:smallCaps w:val="false"/>
        </w:rPr>
      </w:pPr>
      <w:r>
        <w:rPr>
          <w:caps w:val="false"/>
          <w:smallCaps w:val="false"/>
        </w:rPr>
        <w:t> </w:t>
      </w:r>
    </w:p>
    <w:tbl>
      <w:tblPr>
        <w:tblW w:w="3668" w:type="dxa"/>
        <w:jc w:val="left"/>
        <w:tblInd w:w="0" w:type="dxa"/>
        <w:tblLayout w:type="fixed"/>
        <w:tblCellMar>
          <w:top w:w="0" w:type="dxa"/>
          <w:left w:w="0" w:type="dxa"/>
          <w:bottom w:w="0" w:type="dxa"/>
          <w:right w:w="0" w:type="dxa"/>
        </w:tblCellMar>
      </w:tblPr>
      <w:tblGrid>
        <w:gridCol w:w="845"/>
        <w:gridCol w:w="60"/>
        <w:gridCol w:w="246"/>
        <w:gridCol w:w="943"/>
        <w:gridCol w:w="185"/>
        <w:gridCol w:w="60"/>
        <w:gridCol w:w="235"/>
        <w:gridCol w:w="909"/>
        <w:gridCol w:w="185"/>
      </w:tblGrid>
      <w:tr>
        <w:tc>
          <w:tcPr>
            <w:tcW w:w="8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w:t>
            </w:r>
          </w:p>
        </w:tc>
        <w:tc>
          <w:tcPr>
            <w:tcW w:w="185" w:type="dxa"/>
            <w:tcBorders/>
            <w:shd w:fill="FFFFFF" w:val="clear"/>
            <w:vAlign w:val="center"/>
          </w:tcPr>
          <w:p>
            <w:pPr>
              <w:pStyle w:val="TableContents"/>
              <w:bidi w:val="0"/>
              <w:spacing w:before="0" w:after="283"/>
              <w:jc w:val="left"/>
            </w:pPr>
            <w:r>
              <w:t> </w:t>
            </w:r>
          </w:p>
        </w:tc>
      </w:tr>
      <w:tr>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Customer</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60" w:type="dxa"/>
            <w:tcBorders/>
            <w:shd w:fill="CCEEFF" w:val="clear"/>
            <w:vAlign w:val="center"/>
          </w:tcPr>
          <w:p>
            <w:pPr>
              <w:pStyle w:val="TableContents"/>
              <w:bidi w:val="0"/>
              <w:spacing w:before="0" w:after="283"/>
              <w:jc w:val="left"/>
            </w:pPr>
            <w:r>
              <w:t> </w:t>
            </w:r>
          </w:p>
        </w:tc>
        <w:tc>
          <w:tcPr>
            <w:tcW w:w="246" w:type="dxa"/>
            <w:tcBorders/>
            <w:shd w:fill="CCEEFF" w:val="clear"/>
            <w:vAlign w:val="center"/>
          </w:tcPr>
          <w:p>
            <w:pPr>
              <w:pStyle w:val="TableContents"/>
              <w:bidi w:val="0"/>
              <w:spacing w:before="0" w:after="283"/>
              <w:ind w:left="0" w:right="0" w:hanging="0"/>
              <w:jc w:val="left"/>
            </w:pPr>
            <w:r>
              <w:t> </w:t>
            </w:r>
          </w:p>
        </w:tc>
        <w:tc>
          <w:tcPr>
            <w:tcW w:w="943" w:type="dxa"/>
            <w:tcBorders/>
            <w:shd w:fill="CCEEFF" w:val="clear"/>
            <w:vAlign w:val="center"/>
          </w:tcPr>
          <w:p>
            <w:pPr>
              <w:pStyle w:val="TableContents"/>
              <w:bidi w:val="0"/>
              <w:spacing w:before="0" w:after="283"/>
              <w:ind w:left="0" w:right="0" w:hanging="0"/>
              <w:jc w:val="right"/>
              <w:rPr>
                <w:sz w:val="20"/>
              </w:rPr>
            </w:pPr>
            <w:r>
              <w:rPr>
                <w:sz w:val="20"/>
              </w:rPr>
              <w:t>35</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pPr>
            <w:r>
              <w:t> </w:t>
            </w:r>
          </w:p>
        </w:tc>
        <w:tc>
          <w:tcPr>
            <w:tcW w:w="235" w:type="dxa"/>
            <w:tcBorders/>
            <w:shd w:fill="CCEEFF" w:val="clear"/>
            <w:vAlign w:val="center"/>
          </w:tcPr>
          <w:p>
            <w:pPr>
              <w:pStyle w:val="TableContents"/>
              <w:bidi w:val="0"/>
              <w:spacing w:before="0" w:after="283"/>
              <w:ind w:left="0" w:right="0" w:hanging="0"/>
              <w:jc w:val="left"/>
            </w:pPr>
            <w:r>
              <w:t> </w:t>
            </w:r>
          </w:p>
        </w:tc>
        <w:tc>
          <w:tcPr>
            <w:tcW w:w="909" w:type="dxa"/>
            <w:tcBorders/>
            <w:shd w:fill="CCEEFF" w:val="clear"/>
            <w:vAlign w:val="center"/>
          </w:tcPr>
          <w:p>
            <w:pPr>
              <w:pStyle w:val="TableContents"/>
              <w:bidi w:val="0"/>
              <w:spacing w:before="0" w:after="283"/>
              <w:ind w:left="0" w:right="0" w:hanging="0"/>
              <w:jc w:val="right"/>
              <w:rPr>
                <w:sz w:val="20"/>
              </w:rPr>
            </w:pPr>
            <w:r>
              <w:rPr>
                <w:sz w:val="20"/>
              </w:rPr>
              <w:t>39</w:t>
            </w:r>
          </w:p>
        </w:tc>
        <w:tc>
          <w:tcPr>
            <w:tcW w:w="185" w:type="dxa"/>
            <w:tcBorders/>
            <w:shd w:fill="CCEEFF" w:val="clear"/>
            <w:vAlign w:val="center"/>
          </w:tcPr>
          <w:p>
            <w:pPr>
              <w:pStyle w:val="TableContents"/>
              <w:bidi w:val="0"/>
              <w:spacing w:before="0" w:after="283"/>
              <w:jc w:val="left"/>
              <w:rPr>
                <w:sz w:val="20"/>
              </w:rPr>
            </w:pPr>
            <w:r>
              <w:rPr>
                <w:sz w:val="20"/>
              </w:rPr>
              <w:t>%</w:t>
            </w:r>
          </w:p>
        </w:tc>
      </w:tr>
      <w:t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60" w:type="dxa"/>
            <w:tcBorders/>
            <w:shd w:fill="FFFFFF" w:val="clear"/>
            <w:vAlign w:val="center"/>
          </w:tcPr>
          <w:p>
            <w:pPr>
              <w:pStyle w:val="TableContents"/>
              <w:bidi w:val="0"/>
              <w:spacing w:before="0" w:after="283"/>
              <w:jc w:val="left"/>
            </w:pPr>
            <w:r>
              <w:t> </w:t>
            </w:r>
          </w:p>
        </w:tc>
        <w:tc>
          <w:tcPr>
            <w:tcW w:w="246" w:type="dxa"/>
            <w:tcBorders/>
            <w:shd w:fill="FFFFFF" w:val="clear"/>
            <w:vAlign w:val="center"/>
          </w:tcPr>
          <w:p>
            <w:pPr>
              <w:pStyle w:val="TableContents"/>
              <w:bidi w:val="0"/>
              <w:spacing w:before="0" w:after="283"/>
              <w:ind w:left="0" w:right="0" w:hanging="0"/>
              <w:jc w:val="left"/>
            </w:pPr>
            <w:r>
              <w:t> </w:t>
            </w:r>
          </w:p>
        </w:tc>
        <w:tc>
          <w:tcPr>
            <w:tcW w:w="943" w:type="dxa"/>
            <w:tcBorders/>
            <w:shd w:fill="FFFFFF" w:val="clear"/>
            <w:vAlign w:val="center"/>
          </w:tcPr>
          <w:p>
            <w:pPr>
              <w:pStyle w:val="TableContents"/>
              <w:bidi w:val="0"/>
              <w:spacing w:before="0" w:after="283"/>
              <w:ind w:left="0" w:right="0" w:hanging="0"/>
              <w:jc w:val="right"/>
              <w:rPr>
                <w:sz w:val="20"/>
              </w:rPr>
            </w:pPr>
            <w:r>
              <w:rPr>
                <w:sz w:val="20"/>
              </w:rPr>
              <w:t>22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pPr>
            <w:r>
              <w:t> </w:t>
            </w:r>
          </w:p>
        </w:tc>
        <w:tc>
          <w:tcPr>
            <w:tcW w:w="235" w:type="dxa"/>
            <w:tcBorders/>
            <w:shd w:fill="FFFFFF" w:val="clear"/>
            <w:vAlign w:val="center"/>
          </w:tcPr>
          <w:p>
            <w:pPr>
              <w:pStyle w:val="TableContents"/>
              <w:bidi w:val="0"/>
              <w:spacing w:before="0" w:after="283"/>
              <w:ind w:left="0" w:right="0" w:hanging="0"/>
              <w:jc w:val="left"/>
            </w:pPr>
            <w:r>
              <w:t> </w:t>
            </w:r>
          </w:p>
        </w:tc>
        <w:tc>
          <w:tcPr>
            <w:tcW w:w="909" w:type="dxa"/>
            <w:tcBorders/>
            <w:shd w:fill="FFFFFF" w:val="clear"/>
            <w:vAlign w:val="center"/>
          </w:tcPr>
          <w:p>
            <w:pPr>
              <w:pStyle w:val="TableContents"/>
              <w:bidi w:val="0"/>
              <w:spacing w:before="0" w:after="283"/>
              <w:ind w:left="0" w:right="0" w:hanging="0"/>
              <w:jc w:val="right"/>
              <w:rPr>
                <w:sz w:val="20"/>
              </w:rPr>
            </w:pPr>
            <w:r>
              <w:rPr>
                <w:sz w:val="20"/>
              </w:rPr>
              <w:t>25</w:t>
            </w:r>
          </w:p>
        </w:tc>
        <w:tc>
          <w:tcPr>
            <w:tcW w:w="185"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Long-lived assets, net by geographic area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783" w:type="dxa"/>
        <w:jc w:val="left"/>
        <w:tblInd w:w="0" w:type="dxa"/>
        <w:tblLayout w:type="fixed"/>
        <w:tblCellMar>
          <w:top w:w="0" w:type="dxa"/>
          <w:left w:w="0" w:type="dxa"/>
          <w:bottom w:w="0" w:type="dxa"/>
          <w:right w:w="0" w:type="dxa"/>
        </w:tblCellMar>
      </w:tblPr>
      <w:tblGrid>
        <w:gridCol w:w="2210"/>
        <w:gridCol w:w="60"/>
        <w:gridCol w:w="180"/>
        <w:gridCol w:w="1009"/>
        <w:gridCol w:w="60"/>
        <w:gridCol w:w="60"/>
        <w:gridCol w:w="199"/>
        <w:gridCol w:w="945"/>
        <w:gridCol w:w="60"/>
      </w:tblGrid>
      <w:tr>
        <w:tc>
          <w:tcPr>
            <w:tcW w:w="221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September 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pPr>
            <w:r>
              <w:t> </w:t>
            </w:r>
          </w:p>
        </w:tc>
      </w:tr>
      <w:tr>
        <w:tc>
          <w:tcPr>
            <w:tcW w:w="221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 (1)</w:t>
            </w:r>
          </w:p>
        </w:tc>
        <w:tc>
          <w:tcPr>
            <w:tcW w:w="60" w:type="dxa"/>
            <w:tcBorders/>
            <w:shd w:fill="CCEEFF" w:val="clear"/>
            <w:vAlign w:val="center"/>
          </w:tcPr>
          <w:p>
            <w:pPr>
              <w:pStyle w:val="TableContents"/>
              <w:bidi w:val="0"/>
              <w:spacing w:before="0" w:after="283"/>
              <w:ind w:left="0" w:right="0" w:hanging="0"/>
              <w:jc w:val="left"/>
            </w:pPr>
            <w: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121,520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94,426</w:t>
            </w:r>
          </w:p>
        </w:tc>
        <w:tc>
          <w:tcPr>
            <w:tcW w:w="60" w:type="dxa"/>
            <w:tcBorders/>
            <w:shd w:fill="CCEEFF" w:val="clear"/>
            <w:vAlign w:val="center"/>
          </w:tcPr>
          <w:p>
            <w:pPr>
              <w:pStyle w:val="TableContents"/>
              <w:bidi w:val="0"/>
              <w:spacing w:before="0" w:after="283"/>
              <w:jc w:val="left"/>
            </w:pPr>
            <w:r>
              <w:t> </w:t>
            </w:r>
          </w:p>
        </w:tc>
      </w:tr>
      <w:t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the world</w:t>
            </w:r>
          </w:p>
        </w:tc>
        <w:tc>
          <w:tcPr>
            <w:tcW w:w="60" w:type="dxa"/>
            <w:tcBorders/>
            <w:shd w:fill="FFFFFF" w:val="clear"/>
            <w:vAlign w:val="center"/>
          </w:tcPr>
          <w:p>
            <w:pPr>
              <w:pStyle w:val="TableContents"/>
              <w:bidi w:val="0"/>
              <w:spacing w:before="0" w:after="283"/>
              <w:jc w:val="left"/>
            </w:pPr>
            <w: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0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long-lived assets, net</w:t>
            </w:r>
          </w:p>
        </w:tc>
        <w:tc>
          <w:tcPr>
            <w:tcW w:w="60" w:type="dxa"/>
            <w:tcBorders/>
            <w:shd w:fill="CCEEFF" w:val="clear"/>
            <w:vAlign w:val="center"/>
          </w:tcPr>
          <w:p>
            <w:pPr>
              <w:pStyle w:val="TableContents"/>
              <w:bidi w:val="0"/>
              <w:spacing w:before="0" w:after="283"/>
              <w:ind w:left="0" w:right="0" w:hanging="0"/>
              <w:jc w:val="left"/>
            </w:pPr>
            <w: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124,473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97,333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TextBody"/>
        <w:bidi w:val="0"/>
        <w:spacing w:before="0" w:after="0"/>
        <w:ind w:left="0" w:right="0" w:firstLine="360"/>
        <w:jc w:val="left"/>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Includes assets deployed at customer sites which could be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The Company's cash equivalents are classified within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of the fair value hierarchy because their fair values are derived from quoted market prices. Other current assets are classified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because factors used to develop the estimated fair value are unobservable inputs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supported by market activity. The Company’s financial assets measured at fair value on a recurring basis and the classification by level of input within the fair value hierarchy were as follows (in thousands):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45"/>
        <w:gridCol w:w="60"/>
        <w:gridCol w:w="1039"/>
        <w:gridCol w:w="60"/>
        <w:gridCol w:w="110"/>
        <w:gridCol w:w="515"/>
        <w:gridCol w:w="60"/>
        <w:gridCol w:w="60"/>
        <w:gridCol w:w="167"/>
        <w:gridCol w:w="600"/>
        <w:gridCol w:w="62"/>
        <w:gridCol w:w="62"/>
        <w:gridCol w:w="268"/>
        <w:gridCol w:w="636"/>
        <w:gridCol w:w="62"/>
        <w:gridCol w:w="62"/>
        <w:gridCol w:w="245"/>
        <w:gridCol w:w="839"/>
        <w:gridCol w:w="60"/>
        <w:gridCol w:w="60"/>
        <w:gridCol w:w="110"/>
        <w:gridCol w:w="515"/>
        <w:gridCol w:w="60"/>
        <w:gridCol w:w="60"/>
        <w:gridCol w:w="167"/>
        <w:gridCol w:w="600"/>
        <w:gridCol w:w="62"/>
        <w:gridCol w:w="62"/>
        <w:gridCol w:w="268"/>
        <w:gridCol w:w="636"/>
        <w:gridCol w:w="62"/>
        <w:gridCol w:w="62"/>
        <w:gridCol w:w="245"/>
        <w:gridCol w:w="839"/>
        <w:gridCol w:w="85"/>
      </w:tblGrid>
      <w:tr>
        <w:tc>
          <w:tcPr>
            <w:tcW w:w="13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039"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ind w:left="0" w:right="0" w:hanging="0"/>
              <w:jc w:val="left"/>
            </w:pPr>
            <w:r>
              <w:t> </w:t>
            </w:r>
          </w:p>
        </w:tc>
        <w:tc>
          <w:tcPr>
            <w:tcW w:w="374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September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74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December 31, 2025</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3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039" w:type="dxa"/>
            <w:tcBorders/>
            <w:shd w:fill="FFFFFF" w:val="clear"/>
            <w:vAlign w:val="center"/>
          </w:tcPr>
          <w:p>
            <w:pPr>
              <w:pStyle w:val="TableContents"/>
              <w:bidi w:val="0"/>
              <w:spacing w:before="0" w:after="283"/>
              <w:jc w:val="left"/>
            </w:pPr>
            <w:r>
              <w:rPr>
                <w:rStyle w:val="Emphasis"/>
              </w:rP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51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00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Fair Value Measurements at Reporting Date Using</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51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00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Fair Value Measurements at Reporting Date Using</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345" w:type="dxa"/>
            <w:tcBorders/>
            <w:shd w:fill="FFFFFF" w:val="clear"/>
            <w:vAlign w:val="center"/>
          </w:tcPr>
          <w:p>
            <w:pPr>
              <w:pStyle w:val="TableContents"/>
              <w:bidi w:val="0"/>
              <w:spacing w:before="0" w:after="283"/>
              <w:ind w:left="0" w:right="0" w:hanging="0"/>
              <w:jc w:val="left"/>
            </w:pPr>
            <w:r>
              <w:t> </w:t>
            </w:r>
          </w:p>
        </w:tc>
        <w:tc>
          <w:tcPr>
            <w:tcW w:w="60" w:type="dxa"/>
            <w:tcBorders/>
            <w:shd w:fill="FFFFFF" w:val="clear"/>
            <w:vAlign w:val="center"/>
          </w:tcPr>
          <w:p>
            <w:pPr>
              <w:pStyle w:val="TableContents"/>
              <w:bidi w:val="0"/>
              <w:spacing w:before="0" w:after="283"/>
              <w:ind w:left="0" w:right="0" w:hanging="0"/>
              <w:jc w:val="center"/>
            </w:pPr>
            <w:r>
              <w:t> </w:t>
            </w:r>
          </w:p>
        </w:tc>
        <w:tc>
          <w:tcPr>
            <w:tcW w:w="1039" w:type="dxa"/>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Balance Sheet</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51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Quoted Prices in Active Markets for Identical Assets</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Significant Other Observable Inputs</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10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Significant Unobservable Inputs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515" w:type="dxa"/>
            <w:tcBorders/>
            <w:shd w:fill="FFFFFF" w:val="clear"/>
            <w:vAlign w:val="center"/>
          </w:tcPr>
          <w:p>
            <w:pPr>
              <w:pStyle w:val="TableContents"/>
              <w:bidi w:val="0"/>
              <w:spacing w:before="0" w:after="283"/>
              <w:jc w:val="center"/>
            </w:pPr>
            <w:r>
              <w:rPr>
                <w:rStyle w:val="Emphasis"/>
              </w:rP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Quoted Prices in Active Markets for Identical Assets</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Significant Other Observable Inputs</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10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Significant Unobservable Inputs</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3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Assets</w:t>
            </w:r>
          </w:p>
        </w:tc>
        <w:tc>
          <w:tcPr>
            <w:tcW w:w="60" w:type="dxa"/>
            <w:tcBorders/>
            <w:shd w:fill="FFFFFF" w:val="clear"/>
            <w:vAlign w:val="center"/>
          </w:tcPr>
          <w:p>
            <w:pPr>
              <w:pStyle w:val="TableContents"/>
              <w:bidi w:val="0"/>
              <w:spacing w:before="0" w:after="283"/>
              <w:ind w:left="0" w:right="0" w:hanging="0"/>
              <w:jc w:val="center"/>
            </w:pPr>
            <w:r>
              <w:t> </w:t>
            </w:r>
          </w:p>
        </w:tc>
        <w:tc>
          <w:tcPr>
            <w:tcW w:w="103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Classification</w:t>
            </w:r>
          </w:p>
        </w:tc>
        <w:tc>
          <w:tcPr>
            <w:tcW w:w="60" w:type="dxa"/>
            <w:tcBorders/>
            <w:shd w:fill="FFFFFF" w:val="clear"/>
            <w:vAlign w:val="center"/>
          </w:tcPr>
          <w:p>
            <w:pPr>
              <w:pStyle w:val="TableContents"/>
              <w:bidi w:val="0"/>
              <w:spacing w:before="0" w:after="283"/>
              <w:ind w:left="0" w:right="0" w:hanging="0"/>
              <w:jc w:val="left"/>
            </w:pPr>
            <w: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(Level 1)</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(Level 2)</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10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(Level 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(Level 1)</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(Level 2)</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10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18"/>
              </w:rPr>
              <w:t>(Level 3)</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Money market mutual funds</w:t>
            </w:r>
          </w:p>
        </w:tc>
        <w:tc>
          <w:tcPr>
            <w:tcW w:w="60" w:type="dxa"/>
            <w:tcBorders/>
            <w:shd w:fill="CCEEFF" w:val="clear"/>
            <w:vAlign w:val="center"/>
          </w:tcPr>
          <w:p>
            <w:pPr>
              <w:pStyle w:val="TableContents"/>
              <w:bidi w:val="0"/>
              <w:spacing w:before="0" w:after="283"/>
              <w:ind w:left="0" w:right="0" w:hanging="0"/>
              <w:jc w:val="left"/>
            </w:pPr>
            <w:r>
              <w:t> </w:t>
            </w:r>
          </w:p>
        </w:tc>
        <w:tc>
          <w:tcPr>
            <w:tcW w:w="1039"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Cash equivalents</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36,516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36,516</w:t>
            </w:r>
          </w:p>
        </w:tc>
        <w:tc>
          <w:tcPr>
            <w:tcW w:w="6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ind w:left="0" w:right="0" w:hanging="0"/>
              <w:jc w:val="left"/>
            </w:pPr>
            <w:r>
              <w:t> </w:t>
            </w:r>
          </w:p>
        </w:tc>
        <w:tc>
          <w:tcPr>
            <w:tcW w:w="26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6" w:type="dxa"/>
            <w:tcBorders/>
            <w:shd w:fill="CCEEFF" w:val="clear"/>
            <w:vAlign w:val="center"/>
          </w:tcPr>
          <w:p>
            <w:pPr>
              <w:pStyle w:val="TableContents"/>
              <w:bidi w:val="0"/>
              <w:spacing w:before="0" w:after="283"/>
              <w:ind w:left="0" w:right="0" w:hanging="0"/>
              <w:jc w:val="right"/>
            </w:pPr>
            <w:r>
              <w:t>—</w:t>
            </w:r>
          </w:p>
        </w:tc>
        <w:tc>
          <w:tcPr>
            <w:tcW w:w="6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ind w:left="0" w:right="0" w:hanging="0"/>
              <w:jc w:val="left"/>
            </w:pPr>
            <w:r>
              <w:t> </w:t>
            </w:r>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14,535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14,535</w:t>
            </w:r>
          </w:p>
        </w:tc>
        <w:tc>
          <w:tcPr>
            <w:tcW w:w="6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ind w:left="0" w:right="0" w:hanging="0"/>
              <w:jc w:val="left"/>
            </w:pPr>
            <w:r>
              <w:t> </w:t>
            </w:r>
          </w:p>
        </w:tc>
        <w:tc>
          <w:tcPr>
            <w:tcW w:w="26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6" w:type="dxa"/>
            <w:tcBorders/>
            <w:shd w:fill="CCEEFF" w:val="clear"/>
            <w:vAlign w:val="center"/>
          </w:tcPr>
          <w:p>
            <w:pPr>
              <w:pStyle w:val="TableContents"/>
              <w:bidi w:val="0"/>
              <w:spacing w:before="0" w:after="283"/>
              <w:ind w:left="0" w:right="0" w:hanging="0"/>
              <w:jc w:val="right"/>
            </w:pPr>
            <w:r>
              <w:t>—</w:t>
            </w:r>
          </w:p>
        </w:tc>
        <w:tc>
          <w:tcPr>
            <w:tcW w:w="62" w:type="dxa"/>
            <w:tcBorders/>
            <w:shd w:fill="CCEEFF" w:val="cle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ind w:left="0" w:right="0" w:hanging="0"/>
              <w:jc w:val="left"/>
            </w:pPr>
            <w:r>
              <w:t> </w:t>
            </w:r>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shd w:fill="CCEEFF" w:val="clear"/>
            <w:vAlign w:val="center"/>
          </w:tcPr>
          <w:p>
            <w:pPr>
              <w:pStyle w:val="TableContents"/>
              <w:bidi w:val="0"/>
              <w:spacing w:before="0" w:after="283"/>
              <w:ind w:left="0" w:right="0" w:hanging="0"/>
              <w:jc w:val="right"/>
            </w:pPr>
            <w:r>
              <w:t>—</w:t>
            </w:r>
          </w:p>
        </w:tc>
        <w:tc>
          <w:tcPr>
            <w:tcW w:w="85" w:type="dxa"/>
            <w:tcBorders/>
            <w:shd w:fill="CCEEFF" w:val="clear"/>
            <w:vAlign w:val="center"/>
          </w:tcPr>
          <w:p>
            <w:pPr>
              <w:pStyle w:val="TableContents"/>
              <w:bidi w:val="0"/>
              <w:spacing w:before="0" w:after="283"/>
              <w:jc w:val="left"/>
            </w:pPr>
            <w:r>
              <w:t> </w:t>
            </w:r>
          </w:p>
        </w:tc>
      </w:tr>
      <w:tr>
        <w:tc>
          <w:tcPr>
            <w:tcW w:w="1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Available-for-sale debt securities:</w:t>
            </w:r>
          </w:p>
        </w:tc>
        <w:tc>
          <w:tcPr>
            <w:tcW w:w="60" w:type="dxa"/>
            <w:tcBorders/>
            <w:shd w:fill="FFFFFF" w:val="clear"/>
            <w:vAlign w:val="center"/>
          </w:tcPr>
          <w:p>
            <w:pPr>
              <w:pStyle w:val="TableContents"/>
              <w:bidi w:val="0"/>
              <w:spacing w:before="0" w:after="283"/>
              <w:jc w:val="left"/>
            </w:pPr>
            <w:r>
              <w:t> </w:t>
            </w:r>
          </w:p>
        </w:tc>
        <w:tc>
          <w:tcPr>
            <w:tcW w:w="103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5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jc w:val="left"/>
            </w:pPr>
            <w:r>
              <w:t> </w:t>
            </w:r>
          </w:p>
        </w:tc>
        <w:tc>
          <w:tcPr>
            <w:tcW w:w="600"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268" w:type="dxa"/>
            <w:tcBorders/>
            <w:shd w:fill="FFFFFF" w:val="clear"/>
            <w:vAlign w:val="center"/>
          </w:tcPr>
          <w:p>
            <w:pPr>
              <w:pStyle w:val="TableContents"/>
              <w:bidi w:val="0"/>
              <w:spacing w:before="0" w:after="283"/>
              <w:jc w:val="left"/>
            </w:pPr>
            <w:r>
              <w:t> </w:t>
            </w:r>
          </w:p>
        </w:tc>
        <w:tc>
          <w:tcPr>
            <w:tcW w:w="636"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245" w:type="dxa"/>
            <w:tcBorders/>
            <w:shd w:fill="FFFFFF" w:val="clear"/>
            <w:vAlign w:val="center"/>
          </w:tcPr>
          <w:p>
            <w:pPr>
              <w:pStyle w:val="TableContents"/>
              <w:bidi w:val="0"/>
              <w:spacing w:before="0" w:after="283"/>
              <w:jc w:val="left"/>
            </w:pPr>
            <w:r>
              <w:t> </w:t>
            </w:r>
          </w:p>
        </w:tc>
        <w:tc>
          <w:tcPr>
            <w:tcW w:w="83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jc w:val="left"/>
            </w:pPr>
            <w:r>
              <w:t> </w:t>
            </w:r>
          </w:p>
        </w:tc>
        <w:tc>
          <w:tcPr>
            <w:tcW w:w="51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7" w:type="dxa"/>
            <w:tcBorders/>
            <w:shd w:fill="FFFFFF" w:val="clear"/>
            <w:vAlign w:val="center"/>
          </w:tcPr>
          <w:p>
            <w:pPr>
              <w:pStyle w:val="TableContents"/>
              <w:bidi w:val="0"/>
              <w:spacing w:before="0" w:after="283"/>
              <w:jc w:val="left"/>
            </w:pPr>
            <w:r>
              <w:t> </w:t>
            </w:r>
          </w:p>
        </w:tc>
        <w:tc>
          <w:tcPr>
            <w:tcW w:w="600"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268" w:type="dxa"/>
            <w:tcBorders/>
            <w:shd w:fill="FFFFFF" w:val="clear"/>
            <w:vAlign w:val="center"/>
          </w:tcPr>
          <w:p>
            <w:pPr>
              <w:pStyle w:val="TableContents"/>
              <w:bidi w:val="0"/>
              <w:spacing w:before="0" w:after="283"/>
              <w:jc w:val="left"/>
            </w:pPr>
            <w:r>
              <w:t> </w:t>
            </w:r>
          </w:p>
        </w:tc>
        <w:tc>
          <w:tcPr>
            <w:tcW w:w="636"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jc w:val="left"/>
            </w:pPr>
            <w:r>
              <w:t> </w:t>
            </w:r>
          </w:p>
        </w:tc>
        <w:tc>
          <w:tcPr>
            <w:tcW w:w="245" w:type="dxa"/>
            <w:tcBorders/>
            <w:shd w:fill="FFFFFF" w:val="clear"/>
            <w:vAlign w:val="center"/>
          </w:tcPr>
          <w:p>
            <w:pPr>
              <w:pStyle w:val="TableContents"/>
              <w:bidi w:val="0"/>
              <w:spacing w:before="0" w:after="283"/>
              <w:jc w:val="left"/>
            </w:pPr>
            <w:r>
              <w:t> </w:t>
            </w:r>
          </w:p>
        </w:tc>
        <w:tc>
          <w:tcPr>
            <w:tcW w:w="839" w:type="dxa"/>
            <w:tcBorders/>
            <w:shd w:fill="FFFFFF" w:val="clear"/>
            <w:vAlign w:val="center"/>
          </w:tcPr>
          <w:p>
            <w:pPr>
              <w:pStyle w:val="TableContents"/>
              <w:bidi w:val="0"/>
              <w:spacing w:before="0" w:after="283"/>
              <w:jc w:val="left"/>
            </w:pPr>
            <w:r>
              <w:t> </w:t>
            </w:r>
          </w:p>
        </w:tc>
        <w:tc>
          <w:tcPr>
            <w:tcW w:w="85" w:type="dxa"/>
            <w:tcBorders/>
            <w:shd w:fill="FFFFFF" w:val="clear"/>
            <w:vAlign w:val="center"/>
          </w:tcPr>
          <w:p>
            <w:pPr>
              <w:pStyle w:val="TableContents"/>
              <w:bidi w:val="0"/>
              <w:spacing w:before="0" w:after="283"/>
              <w:jc w:val="left"/>
            </w:pPr>
            <w:r>
              <w:t> </w:t>
            </w:r>
          </w:p>
        </w:tc>
      </w:tr>
      <w:tr>
        <w:tc>
          <w:tcPr>
            <w:tcW w:w="1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Convertible note receivable (1)</w:t>
            </w:r>
          </w:p>
        </w:tc>
        <w:tc>
          <w:tcPr>
            <w:tcW w:w="60" w:type="dxa"/>
            <w:tcBorders/>
            <w:shd w:fill="CCEEFF" w:val="clear"/>
            <w:vAlign w:val="center"/>
          </w:tcPr>
          <w:p>
            <w:pPr>
              <w:pStyle w:val="TableContents"/>
              <w:bidi w:val="0"/>
              <w:spacing w:before="0" w:after="283"/>
              <w:ind w:left="0" w:right="0" w:hanging="0"/>
              <w:jc w:val="left"/>
            </w:pPr>
            <w:r>
              <w:t> </w:t>
            </w:r>
          </w:p>
        </w:tc>
        <w:tc>
          <w:tcPr>
            <w:tcW w:w="1039" w:type="dxa"/>
            <w:tcBorders/>
            <w:shd w:fill="CCEE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Other current assets</w:t>
            </w:r>
          </w:p>
        </w:tc>
        <w:tc>
          <w:tcPr>
            <w:tcW w:w="60" w:type="dxa"/>
            <w:tcBorders/>
            <w:shd w:fill="CCEEFF" w:val="clear"/>
            <w:vAlign w:val="center"/>
          </w:tcPr>
          <w:p>
            <w:pPr>
              <w:pStyle w:val="TableContents"/>
              <w:bidi w:val="0"/>
              <w:spacing w:before="0" w:after="283"/>
              <w:jc w:val="left"/>
            </w:pPr>
            <w: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2,213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2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2,213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2,138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2" w:type="dxa"/>
            <w:tcBorders/>
            <w:shd w:fill="CCEEFF" w:val="clear"/>
            <w:vAlign w:val="center"/>
          </w:tcPr>
          <w:p>
            <w:pPr>
              <w:pStyle w:val="TableContents"/>
              <w:bidi w:val="0"/>
              <w:spacing w:before="0" w:after="283"/>
              <w:jc w:val="left"/>
            </w:pPr>
            <w:r>
              <w:t> </w:t>
            </w:r>
          </w:p>
        </w:tc>
        <w:tc>
          <w:tcPr>
            <w:tcW w:w="2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2,138</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r>
      <w:tr>
        <w:tc>
          <w:tcPr>
            <w:tcW w:w="2444" w:type="dxa"/>
            <w:gridSpan w:val="3"/>
            <w:tcBorders/>
            <w:shd w:fill="FFFFFF" w:val="clear"/>
            <w:vAlign w:val="center"/>
          </w:tcPr>
          <w:p>
            <w:pPr>
              <w:pStyle w:val="TableContents"/>
              <w:bidi w:val="0"/>
              <w:spacing w:before="0" w:after="0"/>
              <w:ind w:left="0" w:right="0" w:hanging="0"/>
              <w:jc w:val="left"/>
            </w:pPr>
            <w:r>
              <w:rPr>
                <w:rStyle w:val="Emphasis"/>
                <w:rFonts w:ascii="Times New Roman;Times;serif" w:hAnsi="Times New Roman;Times;serif"/>
                <w:caps w:val="false"/>
                <w:smallCaps w:val="false"/>
                <w:sz w:val="18"/>
              </w:rPr>
              <w:t>Total</w:t>
            </w:r>
          </w:p>
        </w:tc>
        <w:tc>
          <w:tcPr>
            <w:tcW w:w="60" w:type="dxa"/>
            <w:tcBorders/>
            <w:shd w:fill="FFFFFF" w:val="clear"/>
            <w:vAlign w:val="center"/>
          </w:tcPr>
          <w:p>
            <w:pPr>
              <w:pStyle w:val="TableContents"/>
              <w:bidi w:val="0"/>
              <w:spacing w:before="0" w:after="283"/>
              <w:ind w:left="0" w:right="0" w:hanging="0"/>
              <w:jc w:val="left"/>
            </w:pPr>
            <w: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38,729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36,516</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2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2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2,213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16,673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14,535</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2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2" w:type="dxa"/>
            <w:tcBorders/>
            <w:shd w:fill="FFFFFF" w:val="clear"/>
            <w:vAlign w:val="center"/>
          </w:tcPr>
          <w:p>
            <w:pPr>
              <w:pStyle w:val="TableContents"/>
              <w:bidi w:val="0"/>
              <w:spacing w:before="0" w:after="283"/>
              <w:ind w:left="0" w:right="0" w:hanging="0"/>
              <w:jc w:val="left"/>
            </w:pPr>
            <w:r>
              <w:t> </w:t>
            </w:r>
          </w:p>
        </w:tc>
        <w:tc>
          <w:tcPr>
            <w:tcW w:w="2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2,138</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HorizontalLine"/>
        <w:pBdr>
          <w:bottom w:val="double" w:sz="2" w:space="0" w:color="808080"/>
        </w:pBdr>
        <w:bidi w:val="0"/>
        <w:spacing w:before="0" w:after="283"/>
        <w:jc w:val="left"/>
      </w:pPr>
      <w:r/>
    </w:p>
    <w:tbl>
      <w:tblPr>
        <w:tblW w:w="10205" w:type="dxa"/>
        <w:jc w:val="left"/>
        <w:tblInd w:w="0" w:type="dxa"/>
        <w:tblLayout w:type="fixed"/>
        <w:tblCellMar>
          <w:top w:w="0" w:type="dxa"/>
          <w:left w:w="0" w:type="dxa"/>
          <w:bottom w:w="0" w:type="dxa"/>
          <w:right w:w="0" w:type="dxa"/>
        </w:tblCellMar>
      </w:tblPr>
      <w:tblGrid>
        <w:gridCol w:w="60"/>
        <w:gridCol w:w="153"/>
        <w:gridCol w:w="9992"/>
      </w:tblGrid>
      <w:tr>
        <w:tc>
          <w:tcPr>
            <w:tcW w:w="60" w:type="dxa"/>
            <w:tcBorders/>
            <w:vAlign w:val="center"/>
          </w:tcPr>
          <w:p>
            <w:pPr>
              <w:pStyle w:val="TableContents"/>
              <w:bidi w:val="0"/>
              <w:spacing w:before="0" w:after="283"/>
              <w:jc w:val="left"/>
            </w:pPr>
            <w:r>
              <w:t> </w:t>
            </w:r>
          </w:p>
        </w:tc>
        <w:tc>
          <w:tcPr>
            <w:tcW w:w="153" w:type="dxa"/>
            <w:tcBorders/>
            <w:vAlign w:val="center"/>
          </w:tcPr>
          <w:p>
            <w:pPr>
              <w:pStyle w:val="TableContents"/>
              <w:bidi w:val="0"/>
              <w:spacing w:before="0" w:after="0"/>
              <w:ind w:left="0" w:right="0" w:hanging="0"/>
              <w:jc w:val="left"/>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92" w:type="dxa"/>
            <w:tcBorders/>
            <w:vAlign w:val="center"/>
          </w:tcPr>
          <w:p>
            <w:pPr>
              <w:pStyle w:val="TableContents"/>
              <w:bidi w:val="0"/>
              <w:spacing w:before="0" w:after="0"/>
              <w:ind w:left="0" w:right="0" w:hanging="0"/>
              <w:jc w:val="both"/>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2024, </w:t>
            </w:r>
            <w:r>
              <w:rPr>
                <w:rFonts w:ascii="Times New Roman" w:hAnsi="Times New Roman"/>
                <w:caps w:val="false"/>
                <w:smallCaps w:val="false"/>
                <w:sz w:val="20"/>
              </w:rPr>
              <w:t xml:space="preserve">the Company purchased a $2.0 million non-marketable convertible promissory note from an unrelated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(the “convertible note”). The convertible note bears a 5% interest rate annually, with a stated maturity date of </w:t>
            </w:r>
            <w:r>
              <w:rPr>
                <w:rStyle w:val="Emphasis"/>
                <w:rFonts w:ascii="Times New Roman" w:hAnsi="Times New Roman"/>
                <w:caps w:val="false"/>
                <w:smallCaps w:val="false"/>
                <w:sz w:val="20"/>
              </w:rPr>
              <w:t xml:space="preserve"> August 2026. </w:t>
            </w:r>
            <w:r>
              <w:rPr>
                <w:rFonts w:ascii="Times New Roman" w:hAnsi="Times New Roman"/>
                <w:caps w:val="false"/>
                <w:smallCaps w:val="false"/>
                <w:sz w:val="20"/>
              </w:rPr>
              <w:t xml:space="preserve">The Company continued to hold the convertible note after maturity and it remains outstanding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during which time the Company continues to accrue interest in accordance with its terms. </w:t>
            </w:r>
          </w:p>
        </w:tc>
      </w:tr>
    </w:tbl>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b/>
          <w:i/>
          <w:caps w:val="false"/>
          <w:smallCaps w:val="false"/>
          <w:sz w:val="20"/>
        </w:rPr>
        <w:t>Operating Leases</w:t>
      </w:r>
      <w:r>
        <w:rPr>
          <w:rFonts w:ascii="Times New Roman" w:hAnsi="Times New Roman"/>
          <w:caps w:val="false"/>
          <w:smallCaps w:val="false"/>
          <w:sz w:val="20"/>
        </w:rPr>
        <w:t xml:space="preserve"> — Refer to Note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t>
      </w:r>
      <w:r>
        <w:rPr>
          <w:rFonts w:ascii="Times New Roman" w:hAnsi="Times New Roman"/>
          <w:i/>
          <w:caps w:val="false"/>
          <w:smallCaps w:val="false"/>
          <w:sz w:val="20"/>
        </w:rPr>
        <w:t>Leases</w:t>
      </w:r>
      <w:r>
        <w:rPr>
          <w:rFonts w:ascii="Times New Roman" w:hAnsi="Times New Roman"/>
          <w:caps w:val="false"/>
          <w:smallCaps w:val="false"/>
          <w:sz w:val="20"/>
        </w:rPr>
        <w:t>, for the discussion about the Company’s lease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b/>
          <w:i/>
          <w:caps w:val="false"/>
          <w:smallCaps w:val="false"/>
          <w:sz w:val="20"/>
        </w:rPr>
        <w:t>Indemnifications</w:t>
      </w:r>
      <w:r>
        <w:rPr>
          <w:rFonts w:ascii="Times New Roman" w:hAnsi="Times New Roman"/>
          <w:caps w:val="false"/>
          <w:smallCaps w:val="false"/>
          <w:sz w:val="20"/>
        </w:rPr>
        <w:t xml:space="preserve"> — The Company generally provides a warranty to its customers that its software will perform substantially in accordance with documented specifications typically for a period of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following initial delivery of its products. The Company also indemnifies certain customers from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claims of intellectual property infringement relating to the use of its products. Historically, costs related to these guarantees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significant. The Company is unable to estimate the maximum potential impact of these guarantees on its future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Company’s standard product warranty terms for its DirectScan system generally include post-sales support and repairs or replacement of a product at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charge for a contractually agreed period of time. The standard warranty reserve is based on estimated total expected costs to fulfill our warranty obligation based on best available information as of the reporting date. The standard warranty reserve was immaterial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b/>
          <w:i/>
          <w:caps w:val="false"/>
          <w:smallCaps w:val="false"/>
          <w:sz w:val="20"/>
        </w:rPr>
        <w:t>Purchase Obligations</w:t>
      </w:r>
      <w:r>
        <w:rPr>
          <w:rFonts w:ascii="Times New Roman" w:hAnsi="Times New Roman"/>
          <w:caps w:val="false"/>
          <w:smallCaps w:val="false"/>
          <w:sz w:val="20"/>
        </w:rPr>
        <w:t xml:space="preserve"> — The Company has purchase obligations with certain suppliers for the purchase of goods and services entered into in the ordinary course of business.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total outstanding purchase obligations were $67.9 million, the majority of which is due within the next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Indemnification of Officers and Directors</w:t>
      </w:r>
      <w:r>
        <w:rPr>
          <w:rFonts w:ascii="Times New Roman" w:hAnsi="Times New Roman"/>
          <w:caps w:val="false"/>
          <w:smallCaps w:val="false"/>
          <w:sz w:val="20"/>
        </w:rPr>
        <w:t> — As permitted by the Delaware General Corporation Law, the Company has included a provision in its certificate of incorporation to eliminate the personal liability of its officers and directors for monetary damages for breach or alleged breach of their fiduciary duties as officers or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In addition, the Bylaws of the Company provide that the Company is required to indemnify its officers and directors even when indemnification would otherwise be discretionary, and the Company is required to advance expenses to its officers and directors as incurred in connection with proceedings against them for which they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indemnified. The Company has entered into indemnification agreements with its officers and directors containing provisions that are in some respects broader than the specific indemnification provisions contained in the Delaware General Corporation Law. The indemnification agreements require the Company to indemnify its officers and directors against liabilities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arise by reason of their status or service as officers and directors other than for liabilities arising from willful misconduct of a culpable nature, to advance their expenses incurred as a result of any proceeding against them as to which they could be indemnified, and to obtain directors’ and officers’ insurance if available on reasonable terms. The Company has obtained directors’ and officers’ liability insurance in amounts comparable to other companies of the Company’s size and in the Company’s industry. Since a maximum obligation of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explicitly stated in the Company’s Bylaws or in its indemnification agreements and will depend on the facts and circumstances that arise out of any future claims, the overall maximum amount of the obligations cannot be reasonably estimated.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b/>
          <w:i/>
          <w:caps w:val="false"/>
          <w:smallCaps w:val="false"/>
          <w:sz w:val="20"/>
        </w:rPr>
        <w:t>Legal Proceedings</w:t>
      </w:r>
      <w:r>
        <w:rPr>
          <w:rFonts w:ascii="Times New Roman" w:hAnsi="Times New Roman"/>
          <w:caps w:val="false"/>
          <w:smallCaps w:val="false"/>
          <w:sz w:val="20"/>
        </w:rPr>
        <w:t xml:space="preserve"> — From time to time, the Company is subject to various claims and legal proceedings that arise in the ordinary course of business. The Company accrues for losses related to litigation when a potential loss is probable, and the loss can be reasonably estimated, and recognizes gains related to litigation at the earlier of when the gain has been realized or when it is realizable in accordance with FASB requirements.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 Company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party to any material legal proceedings for which a loss was probable or an amount was accrued.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6, 2020, </w:t>
      </w:r>
      <w:r>
        <w:rPr>
          <w:rFonts w:ascii="Times New Roman" w:hAnsi="Times New Roman"/>
          <w:caps w:val="false"/>
          <w:smallCaps w:val="false"/>
          <w:sz w:val="20"/>
        </w:rPr>
        <w:t xml:space="preserve">the Company initiated an arbitration proceeding with the Hong Kong International Arbitration Center (the “Tribunal”) against SMIC New Technology Research &amp; Development (Shanghai) Corporation (“SMIC”) due to SMIC’s failure to pay fees due to the Company under a series of contracts. The Company sought to recover the unpaid fees, a declaration requiring SMIC to pay fees under the contracts in the future (or a lump sum payment to end the contract), and costs associated with bringing the arbitration proceeding. SMIC denied liability and an arbitration hearing was held in </w:t>
      </w:r>
      <w:r>
        <w:rPr>
          <w:rStyle w:val="Emphasis"/>
          <w:rFonts w:ascii="Times New Roman" w:hAnsi="Times New Roman"/>
          <w:caps w:val="false"/>
          <w:smallCaps w:val="false"/>
          <w:sz w:val="20"/>
        </w:rPr>
        <w:t xml:space="preserve">February 2023.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2025, </w:t>
      </w:r>
      <w:r>
        <w:rPr>
          <w:rFonts w:ascii="Times New Roman" w:hAnsi="Times New Roman"/>
          <w:caps w:val="false"/>
          <w:smallCaps w:val="false"/>
          <w:sz w:val="20"/>
        </w:rPr>
        <w:t xml:space="preserve">the Tribunal issued a confidential arbitration award (the “Award”), which is in favor of the Company. In </w:t>
      </w:r>
      <w:r>
        <w:rPr>
          <w:rStyle w:val="Emphasis"/>
          <w:rFonts w:ascii="Times New Roman" w:hAnsi="Times New Roman"/>
          <w:caps w:val="false"/>
          <w:smallCaps w:val="false"/>
          <w:sz w:val="20"/>
        </w:rPr>
        <w:t xml:space="preserve">August 2026, </w:t>
      </w:r>
      <w:r>
        <w:rPr>
          <w:rFonts w:ascii="Times New Roman" w:hAnsi="Times New Roman"/>
          <w:caps w:val="false"/>
          <w:smallCaps w:val="false"/>
          <w:sz w:val="20"/>
        </w:rPr>
        <w:t xml:space="preserve">the Tribunal issued a confidential award as to the parties’ costs (the “Costs Award”), which is also in favor of the Company. In </w:t>
      </w:r>
      <w:r>
        <w:rPr>
          <w:rStyle w:val="Emphasis"/>
          <w:rFonts w:ascii="Times New Roman" w:hAnsi="Times New Roman"/>
          <w:caps w:val="false"/>
          <w:smallCaps w:val="false"/>
          <w:sz w:val="20"/>
        </w:rPr>
        <w:t xml:space="preserve">February 2026, </w:t>
      </w:r>
      <w:r>
        <w:rPr>
          <w:rFonts w:ascii="Times New Roman" w:hAnsi="Times New Roman"/>
          <w:caps w:val="false"/>
          <w:smallCaps w:val="false"/>
          <w:sz w:val="20"/>
        </w:rPr>
        <w:t xml:space="preserve">SMIC filed an application with the High Court of Hong Kong seeking to set the Award aside, and a hearing on the application was held in </w:t>
      </w:r>
      <w:r>
        <w:rPr>
          <w:rStyle w:val="Emphasis"/>
          <w:rFonts w:ascii="Times New Roman" w:hAnsi="Times New Roman"/>
          <w:caps w:val="false"/>
          <w:smallCaps w:val="false"/>
          <w:sz w:val="20"/>
        </w:rPr>
        <w:t xml:space="preserve">September 2026. </w:t>
      </w:r>
      <w:r>
        <w:rPr>
          <w:rFonts w:ascii="Times New Roman" w:hAnsi="Times New Roman"/>
          <w:caps w:val="false"/>
          <w:smallCaps w:val="false"/>
          <w:sz w:val="20"/>
        </w:rPr>
        <w:t>A decision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issued. The Company believes the set aside application is without merit and is pursuing judicial enforcement of the Award in various jurisdictions.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payments on either the Award or the Costs Award have been received by the Company to date and, at this time,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the Company will receive all or any part of the Award or the Costs Award. Accordingly,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amounts have been recognized in connection with the Award or the Costs Award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May 15, 2026, </w:t>
      </w:r>
      <w:r>
        <w:rPr>
          <w:rFonts w:ascii="Times New Roman" w:hAnsi="Times New Roman"/>
          <w:caps w:val="false"/>
          <w:smallCaps w:val="false"/>
          <w:sz w:val="20"/>
        </w:rPr>
        <w:t xml:space="preserve">Advantest Corporation through its wholly-owned subsidiary, Advantest America, Inc. (collectively referred to herein as “Advantest”) was a related party because it owned more than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of the Company’s outstanding equity following the purchase by Advantest of 3,306,924 shares of common stock from the Company in </w:t>
      </w:r>
      <w:r>
        <w:rPr>
          <w:rStyle w:val="Emphasis"/>
          <w:rFonts w:ascii="Times New Roman" w:hAnsi="Times New Roman"/>
          <w:caps w:val="false"/>
          <w:smallCaps w:val="false"/>
          <w:sz w:val="20"/>
        </w:rPr>
        <w:t xml:space="preserve">July 2020 </w:t>
      </w:r>
      <w:r>
        <w:rPr>
          <w:rFonts w:ascii="Times New Roman" w:hAnsi="Times New Roman"/>
          <w:caps w:val="false"/>
          <w:smallCaps w:val="false"/>
          <w:sz w:val="20"/>
        </w:rPr>
        <w:t xml:space="preserve">pursuant to a securities purchase agreement entered into between them, for aggregate gross proceeds to the Company of $65.2 million. On </w:t>
      </w:r>
      <w:r>
        <w:rPr>
          <w:rStyle w:val="Emphasis"/>
          <w:rFonts w:ascii="Times New Roman" w:hAnsi="Times New Roman"/>
          <w:caps w:val="false"/>
          <w:smallCaps w:val="false"/>
          <w:sz w:val="20"/>
        </w:rPr>
        <w:t xml:space="preserve">May 15, 2026, </w:t>
      </w:r>
      <w:r>
        <w:rPr>
          <w:rFonts w:ascii="Times New Roman" w:hAnsi="Times New Roman"/>
          <w:caps w:val="false"/>
          <w:smallCaps w:val="false"/>
          <w:sz w:val="20"/>
        </w:rPr>
        <w:t xml:space="preserve">as a result of the Offering, Advantest ceased to be a related party. See Note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w:t>
      </w:r>
      <w:r>
        <w:rPr>
          <w:rFonts w:ascii="Times New Roman" w:hAnsi="Times New Roman"/>
          <w:i/>
          <w:caps w:val="false"/>
          <w:smallCaps w:val="false"/>
          <w:sz w:val="20"/>
        </w:rPr>
        <w:t>Stockholders’</w:t>
      </w:r>
      <w:r>
        <w:rPr>
          <w:rFonts w:ascii="Times New Roman" w:hAnsi="Times New Roman"/>
          <w:caps w:val="false"/>
          <w:smallCaps w:val="false"/>
          <w:sz w:val="20"/>
        </w:rPr>
        <w:t xml:space="preserve"> </w:t>
      </w:r>
      <w:r>
        <w:rPr>
          <w:rFonts w:ascii="Times New Roman" w:hAnsi="Times New Roman"/>
          <w:i/>
          <w:caps w:val="false"/>
          <w:smallCaps w:val="false"/>
          <w:sz w:val="20"/>
        </w:rPr>
        <w:t>Equity</w:t>
      </w:r>
      <w:r>
        <w:rPr>
          <w:rFonts w:ascii="Times New Roman" w:hAnsi="Times New Roman"/>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2020, </w:t>
      </w:r>
      <w:r>
        <w:rPr>
          <w:rFonts w:ascii="Times New Roman" w:hAnsi="Times New Roman"/>
          <w:caps w:val="false"/>
          <w:smallCaps w:val="false"/>
          <w:sz w:val="20"/>
        </w:rPr>
        <w:t xml:space="preserve">the Company and Advantest also entered into (i) a development agreement for Advantest tools to leverage the Company’s Exensio analytics software; (ii) a commercialization agreement providing for the license to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of solutions resulting from the development work; and, (iii) a cloud-based subscription for Exensio analytics software and related services. The Exensio subscription expired 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while the development and commercialization agreements continue in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there was no revenue recognized from Advantest as a related party, and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2026, </w:t>
      </w:r>
      <w:r>
        <w:rPr>
          <w:rFonts w:ascii="Times New Roman" w:hAnsi="Times New Roman"/>
          <w:caps w:val="false"/>
          <w:smallCaps w:val="false"/>
          <w:sz w:val="20"/>
        </w:rPr>
        <w:t xml:space="preserve">$0.7 million was recognized from Advantest as a related party.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revenue recognized from Advantest as a related party was $1.4 million and $8.5 million, respectively. Since it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a related party as of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accounts receivable and deferred revenue from Advantest as of such date.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accounts receivable from Advantest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and deferred revenue amounted to $8.3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28</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pP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19, 2025, </w:t>
      </w:r>
      <w:r>
        <w:rPr>
          <w:rFonts w:ascii="Times New Roman" w:hAnsi="Times New Roman"/>
          <w:caps w:val="false"/>
          <w:smallCaps w:val="false"/>
          <w:sz w:val="20"/>
        </w:rPr>
        <w:t>the Company entered into an Equity Purchase Agreement (the “Purchase Agreement”) with Telit IOT Solutions Inc., a Delaware corporation (the “Seller”), and SecureWise, pursuant to which the Company agreed to acquire the Seller’s SecureWise business (the “Business”) by means of a purchase of all of the outstanding equity interests of SecureWise held by the Seller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7, 2025, </w:t>
      </w:r>
      <w:r>
        <w:rPr>
          <w:rFonts w:ascii="Times New Roman" w:hAnsi="Times New Roman"/>
          <w:caps w:val="false"/>
          <w:smallCaps w:val="false"/>
          <w:sz w:val="20"/>
        </w:rPr>
        <w:t>the Company completed the acquisition of the Business from the Seller pursuant to the Purchase Agreement for a cash purchase price of $130.0 million, subject to customary adjustments in respect of indebtedness, transaction expenses, cash and working capital of the Business, in each case, in accordance with the terms of the Purchase Agreement. The Company financed the Transaction using a combination of cash on hand and borrowings under the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acquired SecureWise to accelerate equipment makers’ ability to derive value from equipment data by enabling them to leverage the Company’s Exensio analytics software and to expand the capability of the Company’s secure data exchange (“DEX”) outsourced semiconductor assembly and test (“OSAT”) network by allowing equipment makers, fab operators, and fabless companies to collaborate to optimize chip manufacturing and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accounted for the Transaction as a business combination in accordance with ASC Topic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Business Combinations. This method requires that assets acquired, and liabilities assumed in a business combination be recognized at their respective estimated fair values as of the acquisition date. The Company allocated the purchase price to identifiable assets acquired based on their estimated fair values. The fair value of the consideration transferred, and the assets acquired and liabilities assumed was determined by the Company and in doing so management engaged a </w:t>
      </w:r>
      <w:r>
        <w:rPr>
          <w:rStyle w:val="Emphasis"/>
          <w:rFonts w:ascii="Times New Roman" w:hAnsi="Times New Roman"/>
          <w:caps w:val="false"/>
          <w:smallCaps w:val="false"/>
          <w:sz w:val="20"/>
        </w:rPr>
        <w:t>third</w:t>
      </w:r>
      <w:r>
        <w:rPr>
          <w:rFonts w:ascii="Times New Roman" w:hAnsi="Times New Roman"/>
          <w:caps w:val="false"/>
          <w:smallCaps w:val="false"/>
          <w:sz w:val="20"/>
        </w:rPr>
        <w:t>-party valuation specialist to assist with the measurement of the fair value of identifiable intangible assets. The estimated fair value of the identifiable assets acquired, and liabilities assumed was based on management’s best estimates. The fair value of the customer relationships was determined using the multi-period excess earnings income approach or cost approach. The fair value of trade names and developed technology was determined using the relief-from-royalty method. The fair value of acquired technology was determined using the cost approach. The excess of purchase consideration over the fair value of net tangible and identifiable intangible assets acquired was recorded as goodwill. The goodwill recorded from this acquisition represents business benefits the Company anticipates from the acquired workforce and expectation for expanded sales opportunities to foster further business growth. The goodwill associated with the acquisition is deductible for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The Company expensed all transaction costs in the period in which they were incurred. The total acquisition-related and integration costs related to the acquisition of SecureWise amounted to $5.4 million, of which the Company recorded $4.5 million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$0.9 million in </w:t>
      </w:r>
      <w:r>
        <w:rPr>
          <w:rStyle w:val="Emphasis"/>
          <w:rFonts w:ascii="Times New Roman" w:hAnsi="Times New Roman"/>
          <w:caps w:val="false"/>
          <w:smallCaps w:val="false"/>
          <w:sz w:val="20"/>
        </w:rPr>
        <w:t>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finalized the allocation of the purchase price to the fair values of the identifiable assets acquired and liabilities assumed as of the acquisition date, upon completion of the measurement period. The following table summarizes the final allocation of the purchase price for the acquisition of SecureWise, as of the date of the completion of the Transaction (in thousands, except amortization period):</w:t>
      </w:r>
    </w:p>
    <w:tbl>
      <w:tblPr>
        <w:tblW w:w="7510" w:type="dxa"/>
        <w:jc w:val="left"/>
        <w:tblInd w:w="0" w:type="dxa"/>
        <w:tblLayout w:type="fixed"/>
        <w:tblCellMar>
          <w:top w:w="0" w:type="dxa"/>
          <w:left w:w="0" w:type="dxa"/>
          <w:bottom w:w="0" w:type="dxa"/>
          <w:right w:w="0" w:type="dxa"/>
        </w:tblCellMar>
      </w:tblPr>
      <w:tblGrid>
        <w:gridCol w:w="5225"/>
        <w:gridCol w:w="60"/>
        <w:gridCol w:w="125"/>
        <w:gridCol w:w="695"/>
        <w:gridCol w:w="80"/>
        <w:gridCol w:w="60"/>
        <w:gridCol w:w="1205"/>
        <w:gridCol w:w="60"/>
      </w:tblGrid>
      <w:tr>
        <w:tc>
          <w:tcPr>
            <w:tcW w:w="52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rPr>
                <w:rStyle w:val="Emphasis"/>
              </w:rP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05" w:type="dxa"/>
            <w:tcBorders/>
            <w:shd w:fill="FFFFFF" w:val="cle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Amortization</w:t>
            </w:r>
          </w:p>
        </w:tc>
        <w:tc>
          <w:tcPr>
            <w:tcW w:w="60" w:type="dxa"/>
            <w:tcBorders/>
            <w:shd w:fill="FFFFFF" w:val="clear"/>
            <w:vAlign w:val="center"/>
          </w:tcPr>
          <w:p>
            <w:pPr>
              <w:pStyle w:val="TableContents"/>
              <w:bidi w:val="0"/>
              <w:spacing w:before="0" w:after="283"/>
              <w:jc w:val="left"/>
            </w:pPr>
            <w:r>
              <w:t> </w:t>
            </w:r>
          </w:p>
        </w:tc>
      </w:tr>
      <w:tr>
        <w:tc>
          <w:tcPr>
            <w:tcW w:w="522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0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pPr>
            <w:r>
              <w:rPr>
                <w:rStyle w:val="Emphasis"/>
                <w:rFonts w:ascii="Times New Roman;Times;serif" w:hAnsi="Times New Roman;Times;serif"/>
                <w:b/>
                <w:caps w:val="false"/>
                <w:smallCaps w:val="false"/>
                <w:sz w:val="20"/>
              </w:rPr>
              <w:t>Period (Years)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Allocation of Purchase Price:</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0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estimates of assets acquired and liabilities assumed</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0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05"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r>
      <w:t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(1)</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05"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r>
      <w:t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assets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05"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r>
      <w:t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05"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r>
      <w:t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intangible assets: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0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0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pPr>
            <w:r>
              <w:t> </w:t>
            </w:r>
          </w:p>
        </w:tc>
      </w:tr>
      <w:t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0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pPr>
            <w:r>
              <w:t> </w:t>
            </w:r>
          </w:p>
        </w:tc>
      </w:tr>
      <w:t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0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pPr>
            <w:r>
              <w:t> </w:t>
            </w:r>
          </w:p>
        </w:tc>
      </w:tr>
      <w:t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80,023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05" w:type="dxa"/>
            <w:tcBorders/>
            <w:shd w:fill="CCEEFF" w:val="clear"/>
            <w:vAlign w:val="center"/>
          </w:tcPr>
          <w:p>
            <w:pPr>
              <w:pStyle w:val="TableContents"/>
              <w:bidi w:val="0"/>
              <w:spacing w:before="0" w:after="283"/>
              <w:ind w:left="0" w:right="0" w:hanging="0"/>
              <w:jc w:val="center"/>
            </w:pPr>
            <w:r>
              <w:rPr>
                <w:rStyle w:val="Emphasis"/>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pPr>
            <w:r>
              <w:t> </w:t>
            </w:r>
          </w:p>
        </w:tc>
      </w:tr>
      <w:t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other current liabilities</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05" w:type="dxa"/>
            <w:tcBorders/>
            <w:shd w:fill="FFFFFF" w:val="clear"/>
            <w:vAlign w:val="center"/>
          </w:tcPr>
          <w:p>
            <w:pPr>
              <w:pStyle w:val="TableContents"/>
              <w:bidi w:val="0"/>
              <w:spacing w:before="0" w:after="283"/>
              <w:jc w:val="right"/>
            </w:pPr>
            <w:r>
              <w:rPr>
                <w:rStyle w:val="Emphasis"/>
              </w:rPr>
              <w:t> </w:t>
            </w:r>
          </w:p>
        </w:tc>
        <w:tc>
          <w:tcPr>
            <w:tcW w:w="60" w:type="dxa"/>
            <w:tcBorders/>
            <w:shd w:fill="FFFFFF" w:val="clear"/>
            <w:vAlign w:val="center"/>
          </w:tcPr>
          <w:p>
            <w:pPr>
              <w:pStyle w:val="TableContents"/>
              <w:bidi w:val="0"/>
              <w:spacing w:before="0" w:after="283"/>
              <w:jc w:val="left"/>
            </w:pPr>
            <w:r>
              <w:t> </w:t>
            </w:r>
          </w:p>
        </w:tc>
      </w:tr>
      <w:t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purchase price allocation</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130,767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05" w:type="dxa"/>
            <w:tcBorders/>
            <w:shd w:fill="CCEEFF" w:val="clear"/>
            <w:vAlign w:val="center"/>
          </w:tcPr>
          <w:p>
            <w:pPr>
              <w:pStyle w:val="TableContents"/>
              <w:bidi w:val="0"/>
              <w:spacing w:before="0" w:after="283"/>
              <w:jc w:val="right"/>
            </w:pPr>
            <w:r>
              <w:rPr>
                <w:rStyle w:val="Emphasis"/>
              </w:rPr>
              <w:t> </w:t>
            </w:r>
          </w:p>
        </w:tc>
        <w:tc>
          <w:tcPr>
            <w:tcW w:w="60" w:type="dxa"/>
            <w:tcBorders/>
            <w:shd w:fill="CCEEFF" w:val="clear"/>
            <w:vAlign w:val="center"/>
          </w:tcPr>
          <w:p>
            <w:pPr>
              <w:pStyle w:val="TableContents"/>
              <w:bidi w:val="0"/>
              <w:spacing w:before="0" w:after="283"/>
              <w:jc w:val="left"/>
            </w:pPr>
            <w:r>
              <w:t> </w:t>
            </w:r>
          </w:p>
        </w:tc>
      </w:tr>
    </w:tbl>
    <w:p>
      <w:pPr>
        <w:pStyle w:val="HorizontalLine"/>
        <w:pBdr>
          <w:bottom w:val="double" w:sz="2" w:space="0" w:color="808080"/>
        </w:pBdr>
        <w:bidi w:val="0"/>
        <w:spacing w:before="0" w:after="283"/>
        <w:jc w:val="left"/>
      </w:pPr>
      <w:r/>
    </w:p>
    <w:tbl>
      <w:tblPr>
        <w:tblW w:w="10205" w:type="dxa"/>
        <w:jc w:val="left"/>
        <w:tblInd w:w="0" w:type="dxa"/>
        <w:tblLayout w:type="fixed"/>
        <w:tblCellMar>
          <w:top w:w="0" w:type="dxa"/>
          <w:left w:w="0" w:type="dxa"/>
          <w:bottom w:w="0" w:type="dxa"/>
          <w:right w:w="0" w:type="dxa"/>
        </w:tblCellMar>
      </w:tblPr>
      <w:tblGrid>
        <w:gridCol w:w="60"/>
        <w:gridCol w:w="237"/>
        <w:gridCol w:w="9908"/>
      </w:tblGrid>
      <w:tr>
        <w:tc>
          <w:tcPr>
            <w:tcW w:w="60" w:type="dxa"/>
            <w:tcBorders/>
            <w:vAlign w:val="center"/>
          </w:tcPr>
          <w:p>
            <w:pPr>
              <w:pStyle w:val="TableContents"/>
              <w:bidi w:val="0"/>
              <w:spacing w:before="0" w:after="283"/>
              <w:jc w:val="left"/>
            </w:pPr>
            <w:r>
              <w:t> </w:t>
            </w:r>
          </w:p>
        </w:tc>
        <w:tc>
          <w:tcPr>
            <w:tcW w:w="237" w:type="dxa"/>
            <w:tcBorders/>
            <w:vAlign w:val="center"/>
          </w:tcPr>
          <w:p>
            <w:pPr>
              <w:pStyle w:val="TableContents"/>
              <w:bidi w:val="0"/>
              <w:spacing w:before="0" w:after="0"/>
              <w:ind w:left="0" w:right="0" w:hanging="0"/>
              <w:jc w:val="left"/>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08" w:type="dxa"/>
            <w:tcBorders/>
            <w:vAlign w:val="center"/>
          </w:tcPr>
          <w:p>
            <w:pPr>
              <w:pStyle w:val="TableContents"/>
              <w:bidi w:val="0"/>
              <w:spacing w:before="0" w:after="283"/>
              <w:jc w:val="left"/>
            </w:pPr>
            <w:r>
              <w:t>The estimated fair value of the accounts receivable acquired approximates the contractual value of $3.0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Pro forma information reflecting the impact of the Transaction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presented as the Transaction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to the Company’s financial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29</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 w:hAnsi="Times New Roman"/>
          <w:sz w:val="20"/>
        </w:rPr>
      </w:pPr>
      <w:bookmarkStart w:id="10" w:name="mda"/>
      <w:bookmarkEnd w:id="10"/>
      <w:r>
        <w:rPr>
          <w:rFonts w:ascii="Times New Roman" w:hAnsi="Times New Roman"/>
          <w:b/>
          <w:sz w:val="20"/>
        </w:rPr>
        <w:t>Item</w:t>
      </w:r>
      <w:r>
        <w:rPr>
          <w:rFonts w:ascii="Times New Roman" w:hAnsi="Times New Roman"/>
          <w:sz w:val="20"/>
        </w:rPr>
        <w:t> </w:t>
      </w:r>
      <w:r>
        <w:rPr>
          <w:rFonts w:ascii="Times New Roman" w:hAnsi="Times New Roman"/>
          <w:b/>
          <w:sz w:val="20"/>
        </w:rPr>
        <w:t>2. Management</w:t>
      </w:r>
      <w:r>
        <w:rPr>
          <w:rFonts w:ascii="Times New Roman" w:hAnsi="Times New Roman"/>
          <w:sz w:val="20"/>
        </w:rPr>
        <w:t>’</w:t>
      </w:r>
      <w:r>
        <w:rPr>
          <w:rFonts w:ascii="Times New Roman" w:hAnsi="Times New Roman"/>
          <w:b/>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discussion of our financial condition and results of operations contains forward-looking statements within the meaning of Section 27A of the Securities Act of 1933 and Section 21E of the Securities Exchange Act of 1934. All statements other than statements of historical fact may be forward-looking statements. In some cases, you can identify forward-looking statements by terminology such as “may,” “could,” “projected,” “should,” “expect,” “plan,” “anticipate,” “believe,” “estimate,” “predict,” “potential,” “target” or “continue,” the negative effect of terms like these or other similar expressions. </w:t>
      </w:r>
      <w:r>
        <w:rPr>
          <w:rFonts w:ascii="Times New Roman" w:hAnsi="Times New Roman"/>
          <w:i/>
          <w:caps w:val="false"/>
          <w:smallCaps w:val="false"/>
          <w:sz w:val="20"/>
        </w:rPr>
        <w:t>These statements include, but are not limited to, statements related to: the Company</w:t>
      </w:r>
      <w:r>
        <w:rPr>
          <w:rFonts w:ascii="Times New Roman" w:hAnsi="Times New Roman"/>
          <w:caps w:val="false"/>
          <w:smallCaps w:val="false"/>
          <w:sz w:val="20"/>
        </w:rPr>
        <w:t>’</w:t>
      </w:r>
      <w:r>
        <w:rPr>
          <w:rFonts w:ascii="Times New Roman" w:hAnsi="Times New Roman"/>
          <w:i/>
          <w:caps w:val="false"/>
          <w:smallCaps w:val="false"/>
          <w:sz w:val="20"/>
        </w:rPr>
        <w:t>s business strategy and objectives; the Company</w:t>
      </w:r>
      <w:r>
        <w:rPr>
          <w:rFonts w:ascii="Times New Roman" w:hAnsi="Times New Roman"/>
          <w:caps w:val="false"/>
          <w:smallCaps w:val="false"/>
          <w:sz w:val="20"/>
        </w:rPr>
        <w:t>’</w:t>
      </w:r>
      <w:r>
        <w:rPr>
          <w:rFonts w:ascii="Times New Roman" w:hAnsi="Times New Roman"/>
          <w:i/>
          <w:caps w:val="false"/>
          <w:smallCaps w:val="false"/>
          <w:sz w:val="20"/>
        </w:rPr>
        <w:t>s intellectual property and proprietary software, information and technology; the Company</w:t>
      </w:r>
      <w:r>
        <w:rPr>
          <w:rFonts w:ascii="Times New Roman" w:hAnsi="Times New Roman"/>
          <w:caps w:val="false"/>
          <w:smallCaps w:val="false"/>
          <w:sz w:val="20"/>
        </w:rPr>
        <w:t>’</w:t>
      </w:r>
      <w:r>
        <w:rPr>
          <w:rFonts w:ascii="Times New Roman" w:hAnsi="Times New Roman"/>
          <w:i/>
          <w:caps w:val="false"/>
          <w:smallCaps w:val="false"/>
          <w:sz w:val="20"/>
        </w:rPr>
        <w:t>s sales and marketing strategy, expectations regarding strategic alliances and relationships; investments in research and development;</w:t>
      </w:r>
      <w:r>
        <w:rPr>
          <w:rFonts w:ascii="Times New Roman" w:hAnsi="Times New Roman"/>
          <w:caps w:val="false"/>
          <w:smallCaps w:val="false"/>
          <w:sz w:val="20"/>
        </w:rPr>
        <w:t> </w:t>
      </w:r>
      <w:r>
        <w:rPr>
          <w:rFonts w:ascii="Times New Roman" w:hAnsi="Times New Roman"/>
          <w:i/>
          <w:caps w:val="false"/>
          <w:smallCaps w:val="false"/>
          <w:sz w:val="20"/>
        </w:rPr>
        <w:t>industry trends; macroeconomic factors, inventories, and demand; changing export controls and sanctions; U.S. administrative initiatives; investments in semiconductor manufacturing; geopolitical tensions and conflicts; fluctuations in the Company</w:t>
      </w:r>
      <w:r>
        <w:rPr>
          <w:rFonts w:ascii="Times New Roman" w:hAnsi="Times New Roman"/>
          <w:caps w:val="false"/>
          <w:smallCaps w:val="false"/>
          <w:sz w:val="20"/>
        </w:rPr>
        <w:t>’</w:t>
      </w:r>
      <w:r>
        <w:rPr>
          <w:rFonts w:ascii="Times New Roman" w:hAnsi="Times New Roman"/>
          <w:i/>
          <w:caps w:val="false"/>
          <w:smallCaps w:val="false"/>
          <w:sz w:val="20"/>
        </w:rPr>
        <w:t xml:space="preserve">s quarterly results; and other statements identified by words such as </w:t>
      </w:r>
      <w:r>
        <w:rPr>
          <w:rFonts w:ascii="Times New Roman" w:hAnsi="Times New Roman"/>
          <w:caps w:val="false"/>
          <w:smallCaps w:val="false"/>
          <w:sz w:val="20"/>
        </w:rPr>
        <w:t>“</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intends,</w:t>
      </w:r>
      <w:r>
        <w:rPr>
          <w:rFonts w:ascii="Times New Roman" w:hAnsi="Times New Roman"/>
          <w:caps w:val="false"/>
          <w:smallCaps w:val="false"/>
          <w:sz w:val="20"/>
        </w:rPr>
        <w:t>” “</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w:t>
      </w:r>
      <w:r>
        <w:rPr>
          <w:rFonts w:ascii="Times New Roman" w:hAnsi="Times New Roman"/>
          <w:i/>
          <w:caps w:val="false"/>
          <w:smallCaps w:val="false"/>
          <w:sz w:val="20"/>
        </w:rPr>
        <w:t>or similar expressions and the negatives of those terms. These statements are subject to future events, circumstances, uncertainties, and risks that could cause results to differ materially,</w:t>
      </w:r>
      <w:r>
        <w:rPr>
          <w:rFonts w:ascii="Times New Roman" w:hAnsi="Times New Roman"/>
          <w:caps w:val="false"/>
          <w:smallCaps w:val="false"/>
          <w:sz w:val="20"/>
        </w:rPr>
        <w:t> </w:t>
      </w:r>
      <w:r>
        <w:rPr>
          <w:rFonts w:ascii="Times New Roman" w:hAnsi="Times New Roman"/>
          <w:i/>
          <w:caps w:val="false"/>
          <w:smallCaps w:val="false"/>
          <w:sz w:val="20"/>
        </w:rPr>
        <w:t>including</w:t>
      </w:r>
      <w:r>
        <w:rPr>
          <w:rFonts w:ascii="Times New Roman" w:hAnsi="Times New Roman"/>
          <w:caps w:val="false"/>
          <w:smallCaps w:val="false"/>
          <w:sz w:val="20"/>
        </w:rPr>
        <w:t> </w:t>
      </w:r>
      <w:r>
        <w:rPr>
          <w:rFonts w:ascii="Times New Roman" w:hAnsi="Times New Roman"/>
          <w:i/>
          <w:caps w:val="false"/>
          <w:smallCaps w:val="false"/>
          <w:sz w:val="20"/>
        </w:rPr>
        <w:t>risks associated with: the effectiveness of the Company</w:t>
      </w:r>
      <w:r>
        <w:rPr>
          <w:rFonts w:ascii="Times New Roman" w:hAnsi="Times New Roman"/>
          <w:caps w:val="false"/>
          <w:smallCaps w:val="false"/>
          <w:sz w:val="20"/>
        </w:rPr>
        <w:t>’</w:t>
      </w:r>
      <w:r>
        <w:rPr>
          <w:rFonts w:ascii="Times New Roman" w:hAnsi="Times New Roman"/>
          <w:i/>
          <w:caps w:val="false"/>
          <w:smallCaps w:val="false"/>
          <w:sz w:val="20"/>
        </w:rPr>
        <w:t>s business and technology strategies; semiconductor industry trends and competition; rates of adoption of the Company</w:t>
      </w:r>
      <w:r>
        <w:rPr>
          <w:rFonts w:ascii="Times New Roman" w:hAnsi="Times New Roman"/>
          <w:caps w:val="false"/>
          <w:smallCaps w:val="false"/>
          <w:sz w:val="20"/>
        </w:rPr>
        <w:t>’</w:t>
      </w:r>
      <w:r>
        <w:rPr>
          <w:rFonts w:ascii="Times New Roman" w:hAnsi="Times New Roman"/>
          <w:i/>
          <w:caps w:val="false"/>
          <w:smallCaps w:val="false"/>
          <w:sz w:val="20"/>
        </w:rPr>
        <w:t>s solutions by new and existing customers; project milestones or delays and performance criteria achieved; cost and schedule of new product development and investments in research and development; the continuing impact of macroeconomic conditions, including inflation, changing interest rates and tariffs, energy prices, the evolving trade regulatory environment and geopolitical tensions, and other trends impacting the semiconductor industry, the Company</w:t>
      </w:r>
      <w:r>
        <w:rPr>
          <w:rFonts w:ascii="Times New Roman" w:hAnsi="Times New Roman"/>
          <w:caps w:val="false"/>
          <w:smallCaps w:val="false"/>
          <w:sz w:val="20"/>
        </w:rPr>
        <w:t>’</w:t>
      </w:r>
      <w:r>
        <w:rPr>
          <w:rFonts w:ascii="Times New Roman" w:hAnsi="Times New Roman"/>
          <w:i/>
          <w:caps w:val="false"/>
          <w:smallCaps w:val="false"/>
          <w:sz w:val="20"/>
        </w:rPr>
        <w:t>s customers, operations, and supply and demand for its products; supply chain disruptions; changes in laws and regulations, including recent tax and data privacy laws and regulations, or the interpretation or enforcement thereof; the success of the Company</w:t>
      </w:r>
      <w:r>
        <w:rPr>
          <w:rFonts w:ascii="Times New Roman" w:hAnsi="Times New Roman"/>
          <w:caps w:val="false"/>
          <w:smallCaps w:val="false"/>
          <w:sz w:val="20"/>
        </w:rPr>
        <w:t>’</w:t>
      </w:r>
      <w:r>
        <w:rPr>
          <w:rFonts w:ascii="Times New Roman" w:hAnsi="Times New Roman"/>
          <w:i/>
          <w:caps w:val="false"/>
          <w:smallCaps w:val="false"/>
          <w:sz w:val="20"/>
        </w:rPr>
        <w:t>s strategic growth opportunities and partnerships; recent and future acquisitions, strategic alliances and relationships and the Company</w:t>
      </w:r>
      <w:r>
        <w:rPr>
          <w:rFonts w:ascii="Times New Roman" w:hAnsi="Times New Roman"/>
          <w:caps w:val="false"/>
          <w:smallCaps w:val="false"/>
          <w:sz w:val="20"/>
        </w:rPr>
        <w:t>’</w:t>
      </w:r>
      <w:r>
        <w:rPr>
          <w:rFonts w:ascii="Times New Roman" w:hAnsi="Times New Roman"/>
          <w:i/>
          <w:caps w:val="false"/>
          <w:smallCaps w:val="false"/>
          <w:sz w:val="20"/>
        </w:rPr>
        <w:t>s ability to successfully integrate acquired businesses and technologies; whether the Company can successfully convert backlog into revenue; customers</w:t>
      </w:r>
      <w:r>
        <w:rPr>
          <w:rFonts w:ascii="Times New Roman" w:hAnsi="Times New Roman"/>
          <w:caps w:val="false"/>
          <w:smallCaps w:val="false"/>
          <w:sz w:val="20"/>
        </w:rPr>
        <w:t>’ </w:t>
      </w:r>
      <w:r>
        <w:rPr>
          <w:rFonts w:ascii="Times New Roman" w:hAnsi="Times New Roman"/>
          <w:i/>
          <w:caps w:val="false"/>
          <w:smallCaps w:val="false"/>
          <w:sz w:val="20"/>
        </w:rPr>
        <w:t>production volumes under contracts that provide Gainshare; the sufficiency of the Company</w:t>
      </w:r>
      <w:r>
        <w:rPr>
          <w:rFonts w:ascii="Times New Roman" w:hAnsi="Times New Roman"/>
          <w:caps w:val="false"/>
          <w:smallCaps w:val="false"/>
          <w:sz w:val="20"/>
        </w:rPr>
        <w:t>’</w:t>
      </w:r>
      <w:r>
        <w:rPr>
          <w:rFonts w:ascii="Times New Roman" w:hAnsi="Times New Roman"/>
          <w:i/>
          <w:caps w:val="false"/>
          <w:smallCaps w:val="false"/>
          <w:sz w:val="20"/>
        </w:rPr>
        <w:t>s cash resources and anticipated funds from operations; the Company</w:t>
      </w:r>
      <w:r>
        <w:rPr>
          <w:rFonts w:ascii="Times New Roman" w:hAnsi="Times New Roman"/>
          <w:caps w:val="false"/>
          <w:smallCaps w:val="false"/>
          <w:sz w:val="20"/>
        </w:rPr>
        <w:t>’</w:t>
      </w:r>
      <w:r>
        <w:rPr>
          <w:rFonts w:ascii="Times New Roman" w:hAnsi="Times New Roman"/>
          <w:i/>
          <w:caps w:val="false"/>
          <w:smallCaps w:val="false"/>
          <w:sz w:val="20"/>
        </w:rPr>
        <w:t>s ability to obtain additional financing if needed; the Company</w:t>
      </w:r>
      <w:r>
        <w:rPr>
          <w:rFonts w:ascii="Times New Roman" w:hAnsi="Times New Roman"/>
          <w:caps w:val="false"/>
          <w:smallCaps w:val="false"/>
          <w:sz w:val="20"/>
        </w:rPr>
        <w:t>’</w:t>
      </w:r>
      <w:r>
        <w:rPr>
          <w:rFonts w:ascii="Times New Roman" w:hAnsi="Times New Roman"/>
          <w:i/>
          <w:caps w:val="false"/>
          <w:smallCaps w:val="false"/>
          <w:sz w:val="20"/>
        </w:rPr>
        <w:t>s ability to use support and updates for certain open-source software; and other risks and uncertainties discussed in the Company</w:t>
      </w:r>
      <w:r>
        <w:rPr>
          <w:rFonts w:ascii="Times New Roman" w:hAnsi="Times New Roman"/>
          <w:caps w:val="false"/>
          <w:smallCaps w:val="false"/>
          <w:sz w:val="20"/>
        </w:rPr>
        <w:t>’</w:t>
      </w:r>
      <w:r>
        <w:rPr>
          <w:rFonts w:ascii="Times New Roman" w:hAnsi="Times New Roman"/>
          <w:i/>
          <w:caps w:val="false"/>
          <w:smallCaps w:val="false"/>
          <w:sz w:val="20"/>
        </w:rPr>
        <w:t>s filings with the Securities and Exchange Commission (</w:t>
      </w:r>
      <w:r>
        <w:rPr>
          <w:rFonts w:ascii="Times New Roman" w:hAnsi="Times New Roman"/>
          <w:caps w:val="false"/>
          <w:smallCaps w:val="false"/>
          <w:sz w:val="20"/>
        </w:rPr>
        <w:t>“</w:t>
      </w:r>
      <w:r>
        <w:rPr>
          <w:rFonts w:ascii="Times New Roman" w:hAnsi="Times New Roman"/>
          <w:i/>
          <w:caps w:val="false"/>
          <w:smallCaps w:val="false"/>
          <w:sz w:val="20"/>
        </w:rPr>
        <w:t>SEC</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These forward-looking statements are only predictions. Forward-looking statements are based on current expectations and projections about future events and are inherently subject to a variety of risks and uncertainties, many of which are beyond our control, which could cause actual results to differ materially from those anticipated or projected. All forward-looking statements and other information included in this document are based on information available to us on the date of filing and we further caution investors that our business and financial performance are subject to substantial risks and uncertainties. We assume no obligation to update publicly any such forward-looking statements. In evaluating these statements, you should specifically consider various factors, including the risk factors set forth in Item 1A. “Risk Factors” in our Annual Report on Form 10-K for the year ended December 31, 2025, filed with the SEC on February 24, 2026 (the “Annual Report”). All references to “we,” “us,” “our,” “PDF,” “PDF Solutions” or “the Company” refer to PDF Solutions, Inc.</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Cimetrix, CV, DirectScan, Exensio, PDF Solutions, Sapience, secureWISE, and logos for the same, are trademarks or registered trademarks of PDF Solutions, Inc.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provide comprehensive data solutions designed to empower organizations across the semiconductor and electronics ecosystems to improve the yield and quality of their products and operational efficiency for increased profitability. We derive revenues from two categories, Platform and Volume-based fees. Our offerings that contribute to Platform revenue are licenses for software (other than Cimetrix runtime licenses) and related software maintenance and technical support services; software-as-a-service (“SaaS”); engineering services; fixed fees associated with Characterization Vehicle systems; and licenses and purchase contracts for DirectScan systems. Volume-based revenue is derived from Cimetrix runtime licenses, secureWISE data, and variable/royalty fees associated with CV systems (sometimes referred to as Gainshare). Our products and services have been sold to integrated device manufacturers (“IDMs”), fabless semiconductor companies, foundries, out-sourced semiconductor assembly and test (“OSATs”), capital equipment manufacturers, and system houses.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headquartered in Santa Clara, California and operate worldwide with offices in Canada, China, France, Germany, Italy, Japan, Korea, and Taiwan.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Industry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confluence of Industry 4.0 (i.e. the fourth industrial revolution, or the automation and data exchange in manufacturing technologies and processes) and cloud computing (i.e. the on-demand availability of computing resources and data storage without direct active management by the user) is driving increased innovation in semiconductor and electronics manufacturing and analytics, as well as in the organization of information technology (“IT”) networks and computing at semiconductor and electronics companies across the ecosystem. First, the ubiquity sensor technology enables any manufacturing company to augment its factories and visualize its entire production line. In parallel, the cost per terabyte of data storage has generally decreased over time. The combination of these two trends means that more data is collected and stored than ever before. Further, semiconductor companies are striving to analyze these very large data sets in real-time to make rapid decisions that measurably improve manufacturing efficiency and quality. Further, the advancements in and adoption of artificial intelligence (AI) are accelerating the analysis of these very large data sets. In parallel, the traditional practice of on-site data storage, even for highly sensitive data, is changing. The ability to cost-effectively and securely store, analyze, and retrieve massive quantities of data from the cloud versus on-premise enables data to be utilized across a much broader population of users, frequently resulting in greater demands on analytics programs. The combination of these latter two trends means that cloud-based, analytics programs that effectively manage identity management, physical security, and data protection are increasingly in demand for insights and efficiencies across the organizations of these companies. We believe that all these trends will continue for the next few years, and the challenges involved in adopting Industry 4.0 and secure cloud computing will create opportunities for our combination of advanced analytics capabilities, proven and established supporting infrastructure, and professional services to configure our products to meet customers’ specialized needs.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Worldwide economic performance is uneven leading to uneven demand. Geopolitical tensions and conflicts in various locations around the world have created volatility in the global financial markets and may have further global economic consequences, including potential disruptions of the global supply chain, heightened volatility of commodity and raw material prices, increased energy prices, and increased fears of a global recession. Inventories of semiconductor devices remain elevated in some instances. Some purchase cycles, especially for enterprise software and particularly with respect to larger deals, have lengthened in recent years and may continue to do so. Also, we have contractors located in the West Bank and in Israel, who are providing software development and customer technical support services. We have developed contingency plans to use alternative resources to continue serving customers, if needed. Any escalations in these areas could lead to disruptions or reductions in international trade, deter or prevent purchasing activity of customers, and negatively impact our development timelines and customer support (with respect to the conflicts in the Middle East) or China sales (with respect to U.S.-P.R.C. tensions) and financial results in general (with respect to global tensions).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logic foundry market at the leading-edge nodes, such as 7nm, 5nm and smaller, underwent significant change over the past several years. AI has increased the demand for leading-edge wafers, resulting in increased prices, increased investment in technology development, and new companies developing advanced nodes such as Rapidus Corporation. Additional capacity is expected to be added in the coming years, which increases the market for our offerings. The present concern of an “AI bubble” may reduce this investment in additional capacity. However, the need for analytics to maximize yield (to provide additional units) and provide the process control and for leading edge nodes in existing fabs remains.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leading foundry continues to dominate market share. This trend will likely continue to impact our Characterization services business on these nodes. We expect most logic foundries to invest in derivatives of older process nodes, such as 28nm and 14nm, to extract additional value as many of their customers will not move to advanced nodes due to either technological barriers or restrictive economics. Foundries that participate at leading edge nodes are expected to continue to invest in new technologies such as memory, packaging, and multi-patterned and extreme ultraviolet lithography, as well as new innovations in process control and variability management. We expect China’s investment in semiconductors to continue. Compliance with changing U.S. export restrictions limit our possible business with Chinese semiconductor manufacturers on advanced nodes. Further, trade conflict through exchange of tariffs and other retaliatory actions are expected to impact worldwide supply chains, increase prices and put downward pressure on economic activity, and could negatively affect our future sales in various geographic markets. The uncertainty caused by these regulations and the potential for additional future restrictions could negatively affect our future sales, including in but not limited to the People’s Republic of China (“P.R.C.”) market. Some customers in the P.R.C. have expressed concern about the potential for supply chain disruption due to the U.S. government’s changing export controls impacting their purchase, or in some case restricting their ability to purchase, certain U.S. goods. Based on our current assessments, we expect the near-term impact of these evolving trade restrictions on our business to be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Secondary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May 2026, we completed a registered offering of an aggregate of 5,253,554 shares of our common stock at a price of $44.00 per share. The shares sold consisted of 3,306,924 shares held by a selling stockholder and 1,946,630 shares newly issued by us. The net proceeds to us from the sale of shares of our common stock were approximately $81.8 million, after deducting $3.9 million of underwriting discounts and commissions. We did not receive any proceeds from the sale of shares by the selling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Financial highlights for the three months ended September 30, 2026,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revenues were $68.3 million, an increase of $11.2 million, or 20%, compared to the three months ended September 30, 2025. Platform revenue was $58.3 million, an increase of $10.3 million, or 22%, compared to the three months ended September 30, 2025. The increase in Platform revenue was due to higher revenues from CV and DirectScan, and secureWISE systems, partially offset by slightly lower revenues from Cimetrix and Exensio software and services. Volume-based revenue was $10.0 million, an increase of $0.9 million, or 10%, compared to the three months ended September 30, 2025, primarily due to an increase in revenue from Cimetrix runtime licenses, partially offset by a decrease in revenue from secureWISE data usage.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Costs of revenues increased by $2.8 million, compared to the three months ended September 30, 2025, primarily due to increases in hardware costs (including cost of leased assets under sales-type leases), personnel-related costs, facilities and IT-related costs (including depreciation and amortization expense of property and equipment), and software license and maintenance costs, partially offset by a decrease in subcontractor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income was $6.8 million, compared to a net income of $1.3 million for the three months ended September 30, 2025. The increase in net income was primarily attributable to increases in total revenues, interest income from cash and cash equivalents and accretion of net investment in lease, and a decrease in income taxes, partially offset by increases in costs of revenues and operating expenses. The increases in costs of revenues and operating expenses were primarily due to increases in personnel-related expenses, facilities and IT-related costs (including depreciation and amortization of property and equipment), hardware costs (including cost of leased assets under sales-type leases), software licenses and maintenance costs, and legal fees related to the arbitration proceeding over a disputed customer contract, partially offset by a decrease in subcontractor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highlights for the nine months ended September 30, 2026,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revenues were $190.0 million, an increase of $33.4 million, or 21%, compared to the nine months ended September 30, 2025. Platform revenue was $158.4 million, an increase of $29.9 million, or 23%, compared to the nine months ended September 30, 2025. The increase in Platform revenue was primarily due to higher revenues from CV and DirectScan, and secureWISE systems, partially offset by a decrease in revenue from Cimetrix software licenses. Volume-based revenue was $31.6 million, an increase of $3.5 million, or 12%, compared to the nine months ended September 30, 2025, primarily due to an increase in revenue from Cimetrix runtime licenses.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Costs of revenues increased by $11.0 million, compared to the nine months ended September 30, 2025, primarily due to increases in hardware costs (including cost of leased assets under sales-type leases), personnel-related costs, facilities and IT-related costs (including depreciation and amortization expense of property and equipment), software license and maintenance costs, amortization of acquired technology, and travel expense, partially offset by a decrease in subcontractor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income was $15.9 million, compared to a net loss of $0.6 million for the nine months ended September 30, 2025. The increase in net income was primarily attributable to increases in total revenues, interest income from cash and cash equivalents and accretion of net investment in lease, and other income due to net favorable fluctuations in foreign currency exchange rates, partially offset by increases in costs of revenues, overall operating expenses, interest expense from our long-term debt, and decreases in income tax expense and other income due to a one-time recovery from previously written-off property and equipment in the second quarter of 2025. The increase in overall costs of revenues and overall operating expenses was primarily driven by increases in personnel-related expenses, hardware costs (including cost of leased assets under sales-type leases), software licenses and maintenance costs, facilities and IT-related costs (including depreciation and amortization of property and equipment, shipping costs and third-party cloud-services related costs), amortization of acquired intangible assets, legal fees related to the arbitration proceeding over a disputed customer contract, and travel expenses, partially offset by a decrease in acquisition-related and integration costs incurred in connection with the acquisition of SecureWise in the prior period.</w:t>
            </w:r>
          </w:p>
        </w:tc>
      </w:tr>
    </w:tbl>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discussion and analysis of our financial conditions, results of operations and cash flows are based on our condensed consolidated financial statements, which have been prepared in conformity with accounting principles generally accepted in the United States of America. Our preparation of these unaudited condensed consolidated financial statements requires us to make estimates and assumptions that affect the reported amounts of assets and liabilities, the disclosure of contingent assets and liabilities at the dates of the financial statements and the reported amounts of revenues and expenses during the reporting periods. We base our estimates on historical experience and on various other assumptions that we believe to be reasonable under the circumstances. The most significant estimates and assumptions relate to revenue recognition, valuation of long-lived assets including goodwill and intangible assets, stock-based compensation and the realization of deferred tax assets (“DTAs”). Actual amounts may differ from such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For additional information about our critical accounting policies, see Note 1, </w:t>
      </w:r>
      <w:r>
        <w:rPr>
          <w:rFonts w:ascii="Times New Roman" w:hAnsi="Times New Roman"/>
          <w:i/>
          <w:caps w:val="false"/>
          <w:smallCaps w:val="false"/>
          <w:sz w:val="20"/>
        </w:rPr>
        <w:t>Basis of Presentation and Summary of Significant Accounting Policies</w:t>
      </w:r>
      <w:r>
        <w:rPr>
          <w:rFonts w:ascii="Times New Roman" w:hAnsi="Times New Roman"/>
          <w:caps w:val="false"/>
          <w:smallCaps w:val="false"/>
          <w:sz w:val="20"/>
        </w:rPr>
        <w:t xml:space="preserve">, and Note 2,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to our unaudited condensed consolidated financial statements in this Quarterly Report on Form 10</w:t>
        <w:noBreakHyphen/>
        <w:t>Q and Part II Item 7</w:t>
      </w:r>
      <w:r>
        <w:rPr>
          <w:rFonts w:ascii="Times New Roman" w:hAnsi="Times New Roman"/>
          <w:b/>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 xml:space="preserve">s Discussion and Analysis of Financial Condition and Results of Operation, under the heading of </w:t>
      </w:r>
      <w:r>
        <w:rPr>
          <w:rFonts w:ascii="Times New Roman" w:hAnsi="Times New Roman"/>
          <w:caps w:val="false"/>
          <w:smallCaps w:val="false"/>
          <w:sz w:val="20"/>
        </w:rPr>
        <w:t>“</w:t>
      </w:r>
      <w:r>
        <w:rPr>
          <w:rFonts w:ascii="Times New Roman" w:hAnsi="Times New Roman"/>
          <w:i/>
          <w:caps w:val="false"/>
          <w:smallCaps w:val="false"/>
          <w:sz w:val="20"/>
        </w:rPr>
        <w:t>Critical Accounting Estimates</w:t>
      </w:r>
      <w:r>
        <w:rPr>
          <w:rFonts w:ascii="Times New Roman" w:hAnsi="Times New Roman"/>
          <w:caps w:val="false"/>
          <w:smallCaps w:val="false"/>
          <w:sz w:val="20"/>
        </w:rPr>
        <w:t>” in our Annual Report. There were no material changes during the nine months ended September 30, 2026, to the items that we disclosed as our critical accounting policies and estimates in Part II, Item 7 of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 and Accounting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See Note 1, </w:t>
      </w:r>
      <w:r>
        <w:rPr>
          <w:rFonts w:ascii="Times New Roman" w:hAnsi="Times New Roman"/>
          <w:i/>
          <w:caps w:val="false"/>
          <w:smallCaps w:val="false"/>
          <w:sz w:val="20"/>
        </w:rPr>
        <w:t>Basis of Presentation and</w:t>
      </w:r>
      <w:r>
        <w:rPr>
          <w:rFonts w:ascii="Times New Roman" w:hAnsi="Times New Roman"/>
          <w:caps w:val="false"/>
          <w:smallCaps w:val="false"/>
          <w:sz w:val="20"/>
        </w:rPr>
        <w:t xml:space="preserve"> </w:t>
      </w:r>
      <w:r>
        <w:rPr>
          <w:rFonts w:ascii="Times New Roman" w:hAnsi="Times New Roman"/>
          <w:i/>
          <w:caps w:val="false"/>
          <w:smallCaps w:val="false"/>
          <w:sz w:val="20"/>
        </w:rPr>
        <w:t>Summary of Significant Accounting Policies</w:t>
      </w:r>
      <w:r>
        <w:rPr>
          <w:rFonts w:ascii="Times New Roman" w:hAnsi="Times New Roman"/>
          <w:caps w:val="false"/>
          <w:smallCaps w:val="false"/>
          <w:sz w:val="20"/>
        </w:rPr>
        <w:t>, to our unaudited condensed consolidated financial statements in this Quarterly Report on Form 10</w:t>
        <w:noBreakHyphen/>
        <w:t>Q, for a description of recent accounting pronouncements and accounting changes, including the expected dates of adoption and estimated effects, if any, on our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Discussion of Financial Data for the Three and Nine Months ended September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Revenues, Costs of Revenues, and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Beginning with our Annual Report on Form 10-K for the year ended December 31, 2025, filed with the SEC on February 24, 2026, we updated our presentation of revenue categories. The change in presentation of revenues does not change our total revenues or total costs of revenues. The following table presents reclassified historical amounts to conform to the current period’s presentation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8"/>
        <w:gridCol w:w="60"/>
        <w:gridCol w:w="163"/>
        <w:gridCol w:w="771"/>
        <w:gridCol w:w="241"/>
        <w:gridCol w:w="78"/>
        <w:gridCol w:w="163"/>
        <w:gridCol w:w="771"/>
        <w:gridCol w:w="185"/>
        <w:gridCol w:w="60"/>
        <w:gridCol w:w="125"/>
        <w:gridCol w:w="590"/>
        <w:gridCol w:w="60"/>
        <w:gridCol w:w="60"/>
        <w:gridCol w:w="60"/>
        <w:gridCol w:w="230"/>
        <w:gridCol w:w="185"/>
        <w:gridCol w:w="60"/>
        <w:gridCol w:w="150"/>
        <w:gridCol w:w="838"/>
        <w:gridCol w:w="223"/>
        <w:gridCol w:w="72"/>
        <w:gridCol w:w="150"/>
        <w:gridCol w:w="838"/>
        <w:gridCol w:w="185"/>
        <w:gridCol w:w="60"/>
        <w:gridCol w:w="125"/>
        <w:gridCol w:w="590"/>
        <w:gridCol w:w="60"/>
        <w:gridCol w:w="60"/>
        <w:gridCol w:w="60"/>
        <w:gridCol w:w="230"/>
        <w:gridCol w:w="204"/>
      </w:tblGrid>
      <w:tr>
        <w:tc>
          <w:tcPr>
            <w:tcW w:w="249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1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27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04"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49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pPr>
            <w: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41"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8" w:type="dxa"/>
            <w:tcBorders/>
            <w:shd w:fill="FFFFFF" w:val="clear"/>
            <w:vAlign w:val="center"/>
          </w:tcPr>
          <w:p>
            <w:pPr>
              <w:pStyle w:val="TableContents"/>
              <w:bidi w:val="0"/>
              <w:spacing w:before="0" w:after="283"/>
              <w:ind w:left="0" w:right="0" w:hanging="0"/>
              <w:jc w:val="left"/>
            </w:pPr>
            <w: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23"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ind w:left="0" w:right="0" w:hanging="0"/>
              <w:jc w:val="left"/>
            </w:pPr>
            <w:r>
              <w:t> </w:t>
            </w:r>
          </w:p>
        </w:tc>
        <w:tc>
          <w:tcPr>
            <w:tcW w:w="9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204"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jc w:val="left"/>
            </w:pPr>
            <w:r>
              <w:t> </w:t>
            </w:r>
          </w:p>
        </w:tc>
        <w:tc>
          <w:tcPr>
            <w:tcW w:w="771" w:type="dxa"/>
            <w:tcBorders/>
            <w:shd w:fill="CCEEFF" w:val="clear"/>
            <w:vAlign w:val="center"/>
          </w:tcPr>
          <w:p>
            <w:pPr>
              <w:pStyle w:val="TableContents"/>
              <w:bidi w:val="0"/>
              <w:spacing w:before="0" w:after="283"/>
              <w:jc w:val="left"/>
            </w:pPr>
            <w:r>
              <w:t> </w:t>
            </w:r>
          </w:p>
        </w:tc>
        <w:tc>
          <w:tcPr>
            <w:tcW w:w="241" w:type="dxa"/>
            <w:tcBorders/>
            <w:shd w:fill="CCEEFF" w:val="clear"/>
            <w:vAlign w:val="center"/>
          </w:tcPr>
          <w:p>
            <w:pPr>
              <w:pStyle w:val="TableContents"/>
              <w:bidi w:val="0"/>
              <w:spacing w:before="0" w:after="283"/>
              <w:jc w:val="left"/>
            </w:pPr>
            <w:r>
              <w:t> </w:t>
            </w:r>
          </w:p>
        </w:tc>
        <w:tc>
          <w:tcPr>
            <w:tcW w:w="78"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jc w:val="left"/>
            </w:pPr>
            <w:r>
              <w:t> </w:t>
            </w:r>
          </w:p>
        </w:tc>
        <w:tc>
          <w:tcPr>
            <w:tcW w:w="771"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jc w:val="left"/>
            </w:pPr>
            <w:r>
              <w:t> </w:t>
            </w:r>
          </w:p>
        </w:tc>
        <w:tc>
          <w:tcPr>
            <w:tcW w:w="838" w:type="dxa"/>
            <w:tcBorders/>
            <w:shd w:fill="CCEEFF" w:val="clear"/>
            <w:vAlign w:val="center"/>
          </w:tcPr>
          <w:p>
            <w:pPr>
              <w:pStyle w:val="TableContents"/>
              <w:bidi w:val="0"/>
              <w:spacing w:before="0" w:after="283"/>
              <w:jc w:val="left"/>
            </w:pPr>
            <w:r>
              <w:t> </w:t>
            </w:r>
          </w:p>
        </w:tc>
        <w:tc>
          <w:tcPr>
            <w:tcW w:w="223" w:type="dxa"/>
            <w:tcBorders/>
            <w:shd w:fill="CCEEFF" w:val="cle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jc w:val="left"/>
            </w:pPr>
            <w:r>
              <w:t> </w:t>
            </w:r>
          </w:p>
        </w:tc>
        <w:tc>
          <w:tcPr>
            <w:tcW w:w="838"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left"/>
            </w:pPr>
            <w:r>
              <w:t> </w:t>
            </w:r>
          </w:p>
        </w:tc>
        <w:tc>
          <w:tcPr>
            <w:tcW w:w="204" w:type="dxa"/>
            <w:tcBorders/>
            <w:shd w:fill="CCEEFF" w:val="clear"/>
            <w:vAlign w:val="center"/>
          </w:tcPr>
          <w:p>
            <w:pPr>
              <w:pStyle w:val="TableContents"/>
              <w:bidi w:val="0"/>
              <w:spacing w:before="0" w:after="283"/>
              <w:jc w:val="left"/>
            </w:pPr>
            <w:r>
              <w:t> </w:t>
            </w:r>
          </w:p>
        </w:tc>
      </w:tr>
      <w:tr>
        <w:tc>
          <w:tcPr>
            <w:tcW w:w="249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Platform</w:t>
            </w:r>
          </w:p>
        </w:tc>
        <w:tc>
          <w:tcPr>
            <w:tcW w:w="60" w:type="dxa"/>
            <w:tcBorders/>
            <w:shd w:fill="FFFFFF" w:val="clear"/>
            <w:vAlign w:val="center"/>
          </w:tcPr>
          <w:p>
            <w:pPr>
              <w:pStyle w:val="TableContents"/>
              <w:bidi w:val="0"/>
              <w:spacing w:before="0" w:after="283"/>
              <w:ind w:left="0" w:right="0" w:hanging="0"/>
              <w:jc w:val="left"/>
            </w:pPr>
            <w: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58,331</w:t>
            </w:r>
          </w:p>
        </w:tc>
        <w:tc>
          <w:tcPr>
            <w:tcW w:w="241" w:type="dxa"/>
            <w:tcBorders/>
            <w:shd w:fill="FFFFFF" w:val="clear"/>
            <w:vAlign w:val="center"/>
          </w:tcPr>
          <w:p>
            <w:pPr>
              <w:pStyle w:val="TableContents"/>
              <w:bidi w:val="0"/>
              <w:spacing w:before="0" w:after="283"/>
              <w:jc w:val="left"/>
            </w:pPr>
            <w:r>
              <w:t> </w:t>
            </w:r>
          </w:p>
        </w:tc>
        <w:tc>
          <w:tcPr>
            <w:tcW w:w="78" w:type="dxa"/>
            <w:tcBorders/>
            <w:shd w:fill="FFFFFF" w:val="clear"/>
            <w:vAlign w:val="center"/>
          </w:tcPr>
          <w:p>
            <w:pPr>
              <w:pStyle w:val="TableContents"/>
              <w:bidi w:val="0"/>
              <w:spacing w:before="0" w:after="283"/>
              <w:ind w:left="0" w:right="0" w:hanging="0"/>
              <w:jc w:val="left"/>
            </w:pPr>
            <w: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48,001</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158,397</w:t>
            </w:r>
          </w:p>
        </w:tc>
        <w:tc>
          <w:tcPr>
            <w:tcW w:w="223"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ind w:left="0" w:right="0" w:hanging="0"/>
              <w:jc w:val="left"/>
            </w:pPr>
            <w:r>
              <w:t> </w:t>
            </w:r>
          </w:p>
        </w:tc>
        <w:tc>
          <w:tcPr>
            <w:tcW w:w="15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128,522</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29,875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49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Volume-based</w:t>
            </w:r>
          </w:p>
        </w:tc>
        <w:tc>
          <w:tcPr>
            <w:tcW w:w="60" w:type="dxa"/>
            <w:tcBorders/>
            <w:shd w:fill="CCEEFF" w:val="clear"/>
            <w:vAlign w:val="center"/>
          </w:tcPr>
          <w:p>
            <w:pPr>
              <w:pStyle w:val="TableContents"/>
              <w:bidi w:val="0"/>
              <w:spacing w:before="0" w:after="283"/>
              <w:jc w:val="left"/>
            </w:pPr>
            <w: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10,003</w:t>
            </w:r>
          </w:p>
        </w:tc>
        <w:tc>
          <w:tcPr>
            <w:tcW w:w="241"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8" w:type="dxa"/>
            <w:tcBorders/>
            <w:shd w:fill="CCEEFF" w:val="clear"/>
            <w:vAlign w:val="center"/>
          </w:tcPr>
          <w:p>
            <w:pPr>
              <w:pStyle w:val="TableContents"/>
              <w:bidi w:val="0"/>
              <w:spacing w:before="0" w:after="283"/>
              <w:jc w:val="left"/>
            </w:pPr>
            <w: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31,596</w:t>
            </w:r>
          </w:p>
        </w:tc>
        <w:tc>
          <w:tcPr>
            <w:tcW w:w="223"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28,099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ind w:left="0" w:right="0" w:hanging="0"/>
              <w:jc w:val="left"/>
            </w:pPr>
            <w: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68,334</w:t>
            </w:r>
          </w:p>
        </w:tc>
        <w:tc>
          <w:tcPr>
            <w:tcW w:w="241" w:type="dxa"/>
            <w:tcBorders/>
            <w:shd w:fill="FFFFFF" w:val="clear"/>
            <w:vAlign w:val="center"/>
          </w:tcPr>
          <w:p>
            <w:pPr>
              <w:pStyle w:val="TableContents"/>
              <w:bidi w:val="0"/>
              <w:spacing w:before="0" w:after="283"/>
              <w:jc w:val="left"/>
            </w:pPr>
            <w:r>
              <w:t> </w:t>
            </w:r>
          </w:p>
        </w:tc>
        <w:tc>
          <w:tcPr>
            <w:tcW w:w="78"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ind w:left="0" w:right="0" w:hanging="0"/>
              <w:jc w:val="left"/>
            </w:pPr>
            <w: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57,115</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11,219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189,993</w:t>
            </w:r>
          </w:p>
        </w:tc>
        <w:tc>
          <w:tcPr>
            <w:tcW w:w="223"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156,621</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33,372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49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of revenues</w:t>
            </w:r>
          </w:p>
        </w:tc>
        <w:tc>
          <w:tcPr>
            <w:tcW w:w="60" w:type="dxa"/>
            <w:tcBorders/>
            <w:shd w:fill="CCEEFF" w:val="clear"/>
            <w:vAlign w:val="center"/>
          </w:tcPr>
          <w:p>
            <w:pPr>
              <w:pStyle w:val="TableContents"/>
              <w:bidi w:val="0"/>
              <w:spacing w:before="0" w:after="283"/>
              <w:jc w:val="left"/>
            </w:pPr>
            <w: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18,593</w:t>
            </w:r>
          </w:p>
        </w:tc>
        <w:tc>
          <w:tcPr>
            <w:tcW w:w="241"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8" w:type="dxa"/>
            <w:tcBorders/>
            <w:shd w:fill="CCEEFF" w:val="clear"/>
            <w:vAlign w:val="center"/>
          </w:tcPr>
          <w:p>
            <w:pPr>
              <w:pStyle w:val="TableContents"/>
              <w:bidi w:val="0"/>
              <w:spacing w:before="0" w:after="283"/>
              <w:jc w:val="left"/>
            </w:pPr>
            <w: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54,638</w:t>
            </w:r>
          </w:p>
        </w:tc>
        <w:tc>
          <w:tcPr>
            <w:tcW w:w="223"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72" w:type="dxa"/>
            <w:tcBorders/>
            <w:shd w:fill="CCEEFF" w:val="clear"/>
            <w:vAlign w:val="center"/>
          </w:tcPr>
          <w:p>
            <w:pPr>
              <w:pStyle w:val="TableContents"/>
              <w:bidi w:val="0"/>
              <w:spacing w:before="0" w:after="283"/>
              <w:jc w:val="left"/>
            </w:pPr>
            <w: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43,681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49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ind w:left="0" w:right="0" w:hanging="0"/>
              <w:jc w:val="left"/>
            </w:pPr>
            <w: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49,741</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8" w:type="dxa"/>
            <w:tcBorders/>
            <w:shd w:fill="FFFFFF" w:val="clear"/>
            <w:vAlign w:val="center"/>
          </w:tcPr>
          <w:p>
            <w:pPr>
              <w:pStyle w:val="TableContents"/>
              <w:bidi w:val="0"/>
              <w:spacing w:before="0" w:after="283"/>
              <w:ind w:left="0" w:right="0" w:hanging="0"/>
              <w:jc w:val="left"/>
            </w:pPr>
            <w: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41,275</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135,355</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ind w:left="0" w:right="0" w:hanging="0"/>
              <w:jc w:val="left"/>
            </w:pPr>
            <w: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112,940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22,415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498"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Gross margin</w:t>
            </w:r>
          </w:p>
        </w:tc>
        <w:tc>
          <w:tcPr>
            <w:tcW w:w="60"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ind w:left="0" w:right="0" w:hanging="0"/>
              <w:jc w:val="left"/>
            </w:pPr>
            <w: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ind w:left="0" w:right="0" w:hanging="0"/>
              <w:jc w:val="left"/>
            </w:pPr>
            <w: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right"/>
            </w:pPr>
            <w:r>
              <w:t> </w:t>
            </w:r>
          </w:p>
        </w:tc>
        <w:tc>
          <w:tcPr>
            <w:tcW w:w="204" w:type="dxa"/>
            <w:tcBorders/>
            <w:shd w:fill="CCEEFF" w:val="clear"/>
            <w:vAlign w:val="center"/>
          </w:tcPr>
          <w:p>
            <w:pPr>
              <w:pStyle w:val="TableContents"/>
              <w:bidi w:val="0"/>
              <w:spacing w:before="0" w:after="283"/>
              <w:jc w:val="left"/>
            </w:pPr>
            <w:r>
              <w:t> </w:t>
            </w:r>
          </w:p>
        </w:tc>
      </w:tr>
      <w:tr>
        <w:tc>
          <w:tcPr>
            <w:tcW w:w="2498"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jc w:val="left"/>
            </w:pPr>
            <w:r>
              <w:t> </w:t>
            </w:r>
          </w:p>
        </w:tc>
        <w:tc>
          <w:tcPr>
            <w:tcW w:w="771" w:type="dxa"/>
            <w:tcBorders/>
            <w:shd w:fill="FFFFFF" w:val="clear"/>
            <w:vAlign w:val="center"/>
          </w:tcPr>
          <w:p>
            <w:pPr>
              <w:pStyle w:val="TableContents"/>
              <w:bidi w:val="0"/>
              <w:spacing w:before="0" w:after="283"/>
              <w:jc w:val="left"/>
            </w:pPr>
            <w:r>
              <w:t> </w:t>
            </w:r>
          </w:p>
        </w:tc>
        <w:tc>
          <w:tcPr>
            <w:tcW w:w="241" w:type="dxa"/>
            <w:tcBorders/>
            <w:shd w:fill="FFFFFF" w:val="clear"/>
            <w:vAlign w:val="center"/>
          </w:tcPr>
          <w:p>
            <w:pPr>
              <w:pStyle w:val="TableContents"/>
              <w:bidi w:val="0"/>
              <w:spacing w:before="0" w:after="283"/>
              <w:jc w:val="left"/>
            </w:pPr>
            <w:r>
              <w:t> </w:t>
            </w:r>
          </w:p>
        </w:tc>
        <w:tc>
          <w:tcPr>
            <w:tcW w:w="78"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jc w:val="left"/>
            </w:pPr>
            <w:r>
              <w:t> </w:t>
            </w:r>
          </w:p>
        </w:tc>
        <w:tc>
          <w:tcPr>
            <w:tcW w:w="771"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59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jc w:val="left"/>
            </w:pPr>
            <w:r>
              <w:t> </w:t>
            </w:r>
          </w:p>
        </w:tc>
        <w:tc>
          <w:tcPr>
            <w:tcW w:w="838" w:type="dxa"/>
            <w:tcBorders/>
            <w:shd w:fill="FFFFFF" w:val="clear"/>
            <w:vAlign w:val="center"/>
          </w:tcPr>
          <w:p>
            <w:pPr>
              <w:pStyle w:val="TableContents"/>
              <w:bidi w:val="0"/>
              <w:spacing w:before="0" w:after="283"/>
              <w:jc w:val="left"/>
            </w:pPr>
            <w:r>
              <w:t> </w:t>
            </w:r>
          </w:p>
        </w:tc>
        <w:tc>
          <w:tcPr>
            <w:tcW w:w="223" w:type="dxa"/>
            <w:tcBorders/>
            <w:shd w:fill="FFFFFF" w:val="clear"/>
            <w:vAlign w:val="center"/>
          </w:tcPr>
          <w:p>
            <w:pPr>
              <w:pStyle w:val="TableContents"/>
              <w:bidi w:val="0"/>
              <w:spacing w:before="0" w:after="283"/>
              <w:jc w:val="left"/>
            </w:pPr>
            <w:r>
              <w:t> </w:t>
            </w:r>
          </w:p>
        </w:tc>
        <w:tc>
          <w:tcPr>
            <w:tcW w:w="72"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jc w:val="left"/>
            </w:pPr>
            <w:r>
              <w:t> </w:t>
            </w:r>
          </w:p>
        </w:tc>
        <w:tc>
          <w:tcPr>
            <w:tcW w:w="838"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59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jc w:val="left"/>
            </w:pPr>
            <w:r>
              <w:t> </w:t>
            </w:r>
          </w:p>
        </w:tc>
        <w:tc>
          <w:tcPr>
            <w:tcW w:w="204" w:type="dxa"/>
            <w:tcBorders/>
            <w:shd w:fill="FFFFFF" w:val="clear"/>
            <w:vAlign w:val="center"/>
          </w:tcPr>
          <w:p>
            <w:pPr>
              <w:pStyle w:val="TableContents"/>
              <w:bidi w:val="0"/>
              <w:spacing w:before="0" w:after="283"/>
              <w:jc w:val="left"/>
            </w:pPr>
            <w:r>
              <w:t> </w:t>
            </w:r>
          </w:p>
        </w:tc>
      </w:tr>
      <w:tr>
        <w:tc>
          <w:tcPr>
            <w:tcW w:w="2498"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Platform revenue as a percentage of total revenues</w:t>
            </w:r>
          </w:p>
        </w:tc>
        <w:tc>
          <w:tcPr>
            <w:tcW w:w="60"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ind w:left="0" w:right="0" w:hanging="0"/>
              <w:jc w:val="left"/>
            </w:pPr>
            <w: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pPr>
            <w:r>
              <w:t> </w:t>
            </w:r>
          </w:p>
        </w:tc>
        <w:tc>
          <w:tcPr>
            <w:tcW w:w="163" w:type="dxa"/>
            <w:tcBorders/>
            <w:shd w:fill="CCEEFF" w:val="clear"/>
            <w:vAlign w:val="center"/>
          </w:tcPr>
          <w:p>
            <w:pPr>
              <w:pStyle w:val="TableContents"/>
              <w:bidi w:val="0"/>
              <w:spacing w:before="0" w:after="283"/>
              <w:ind w:left="0" w:right="0" w:hanging="0"/>
              <w:jc w:val="left"/>
            </w:pPr>
            <w: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righ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2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pPr>
            <w:r>
              <w:t> </w:t>
            </w:r>
          </w:p>
        </w:tc>
        <w:tc>
          <w:tcPr>
            <w:tcW w:w="150" w:type="dxa"/>
            <w:tcBorders/>
            <w:shd w:fill="CCEEFF" w:val="clear"/>
            <w:vAlign w:val="center"/>
          </w:tcPr>
          <w:p>
            <w:pPr>
              <w:pStyle w:val="TableContents"/>
              <w:bidi w:val="0"/>
              <w:spacing w:before="0" w:after="283"/>
              <w:ind w:left="0" w:right="0" w:hanging="0"/>
              <w:jc w:val="left"/>
            </w:pPr>
            <w: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590" w:type="dxa"/>
            <w:tcBorders/>
            <w:shd w:fill="CCEEFF" w:val="clear"/>
            <w:vAlign w:val="center"/>
          </w:tcPr>
          <w:p>
            <w:pPr>
              <w:pStyle w:val="TableContents"/>
              <w:bidi w:val="0"/>
              <w:spacing w:before="0" w:after="283"/>
              <w:jc w:val="righ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30" w:type="dxa"/>
            <w:tcBorders/>
            <w:shd w:fill="CCEEFF" w:val="clear"/>
            <w:vAlign w:val="center"/>
          </w:tcPr>
          <w:p>
            <w:pPr>
              <w:pStyle w:val="TableContents"/>
              <w:bidi w:val="0"/>
              <w:spacing w:before="0" w:after="283"/>
              <w:jc w:val="right"/>
            </w:pPr>
            <w:r>
              <w:t> </w:t>
            </w:r>
          </w:p>
        </w:tc>
        <w:tc>
          <w:tcPr>
            <w:tcW w:w="204" w:type="dxa"/>
            <w:tcBorders/>
            <w:shd w:fill="CCEEFF" w:val="clear"/>
            <w:vAlign w:val="center"/>
          </w:tcPr>
          <w:p>
            <w:pPr>
              <w:pStyle w:val="TableContents"/>
              <w:bidi w:val="0"/>
              <w:spacing w:before="0" w:after="283"/>
              <w:jc w:val="left"/>
            </w:pPr>
            <w:r>
              <w:t> </w:t>
            </w:r>
          </w:p>
        </w:tc>
      </w:tr>
      <w:tr>
        <w:tc>
          <w:tcPr>
            <w:tcW w:w="2498"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Volume-based revenue as a percentage of total revenues</w:t>
            </w:r>
          </w:p>
        </w:tc>
        <w:tc>
          <w:tcPr>
            <w:tcW w:w="60"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ind w:left="0" w:right="0" w:hanging="0"/>
              <w:jc w:val="left"/>
            </w:pPr>
            <w: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pPr>
            <w:r>
              <w:t> </w:t>
            </w:r>
          </w:p>
        </w:tc>
        <w:tc>
          <w:tcPr>
            <w:tcW w:w="163" w:type="dxa"/>
            <w:tcBorders/>
            <w:shd w:fill="FFFFFF" w:val="clear"/>
            <w:vAlign w:val="center"/>
          </w:tcPr>
          <w:p>
            <w:pPr>
              <w:pStyle w:val="TableContents"/>
              <w:bidi w:val="0"/>
              <w:spacing w:before="0" w:after="283"/>
              <w:ind w:left="0" w:right="0" w:hanging="0"/>
              <w:jc w:val="left"/>
            </w:pPr>
            <w: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590"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pPr>
            <w:r>
              <w:t> </w:t>
            </w:r>
          </w:p>
        </w:tc>
        <w:tc>
          <w:tcPr>
            <w:tcW w:w="150" w:type="dxa"/>
            <w:tcBorders/>
            <w:shd w:fill="FFFFFF" w:val="clear"/>
            <w:vAlign w:val="center"/>
          </w:tcPr>
          <w:p>
            <w:pPr>
              <w:pStyle w:val="TableContents"/>
              <w:bidi w:val="0"/>
              <w:spacing w:before="0" w:after="283"/>
              <w:ind w:left="0" w:right="0" w:hanging="0"/>
              <w:jc w:val="left"/>
            </w:pPr>
            <w: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590"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jc w:val="right"/>
            </w:pPr>
            <w:r>
              <w:t> </w:t>
            </w:r>
          </w:p>
        </w:tc>
        <w:tc>
          <w:tcPr>
            <w:tcW w:w="204"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Platform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Platform revenue increased $10.3 million for the three months ended September 30, 2026, compared to the same period in 2025. The increase in Platform revenue was primarily due to higher revenues from CV and DirectScan, and secureWISE systems, partially offset by slightly lower revenues from Cimetrix and Exensio software and services.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Platform revenue increased $29.9 million for the nine months ended September 30, 2026, compared to the same period in 2025. The increase in Platform revenue was primarily due to higher revenues from CV and DirectScan, and secureWISE systems, partially offset by a decrease in revenue from Cimetrix software licenses.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Volume-based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Volume-based revenue increased $0.9 million for the three months ended September 30, 2026, compared to the same period in 2025, primarily due to an increase in revenue from Cimetrix runtime licenses, partially offset by a decrease in revenue from secureWISE data usage.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Volume-based revenue increased $3.5 million for the nine months ended September 30, 2026, compared to the same period in 2025, primarily due to an increase in revenue from Cimetrix runtime licenses.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revenues may also fluctuate in the future due to other factors, including the semiconductor industry’s continued acceptance of our products, services and solutions, the timing of purchases by existing and new customers, cancellations by existing customers, our ability to attract new customers and penetrate new markets, supply chain challenges and further penetration of our current customer base. Fluctuations in future results may also occur if any of our significant customers renegotiate pre-existing contractual commitments, including due to adverse changes in their own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Costs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Costs of revenues consist primarily of costs incurred to provide and support our services, costs recognized in connection with licensing our software, IT and facilities-related costs, and amortization of acquired technology. Service costs include material costs, hardware costs (including cost of leased assets under sales-type lease), personnel-related costs (including compensation, employee benefits, bonus and stock-based compensation expense), subcontractor costs, overhead costs, travel expenses, and allocated facilities-related costs. Software license costs consist of costs associated with third-party cloud-delivery related expenses and licensing third-party software used by us in providing services to our customers in solution engagements or sold in conjunction with our software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Costs of revenues increased $2.8 million for the three months ended September 30, 2026, compared to the same period in 2025, primarily due to (i) a $1.0 million increase in hardware costs (including cost of leased assets under sales-type leases), (ii) a $0.9 million increase in personnel-related costs due to increased headcount, employee benefits expense, higher bonus expense, and stock-based compensation, (iii) a $0.8 million increase in facilities and IT-related costs (including depreciation and amortization expense of property and equipment), and (iv) a $0.6 million increase in software license and maintenance costs, partially offset by a $0.5 million decrease in subcontractor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Costs of revenues increased $11.0 million for the nine months ended September 30, 2026, compared to the same period in 2025, primarily due to (i) a $3.8 million increase in hardware costs (including cost of leased assets under sales-type leases), (ii) a $3.2 million increase in personnel-related costs due to increased headcount, employee benefits expense, higher bonus expense, and stock-based compensation, (iii) a $2.5 million increase in facilities and IT-related costs (including depreciation and amortization expense of property and equipment), (iv) a $1.7 million increase in software license and maintenance costs, (v) a $0.3 million increase in amortization of acquired technology, and (vi) a $0.3 million increase in travel expense, partially offset by a $1.1 million decrease in subcontractor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Margin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Gross margin for the three months ended September 30, 2026, increased one percentage point to 73%, compared to 72% for the same period in 2025, primarily driven by higher revenue growth compared to the increase in costs of revenues.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Gross margin for the nine months ended September 30, 2026, decreased one percentage point to 71%, compared to 72% for the same period in 2025, primarily driven by higher costs of revenues compared to the increase in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6"/>
        <w:gridCol w:w="60"/>
        <w:gridCol w:w="187"/>
        <w:gridCol w:w="885"/>
        <w:gridCol w:w="277"/>
        <w:gridCol w:w="89"/>
        <w:gridCol w:w="187"/>
        <w:gridCol w:w="885"/>
        <w:gridCol w:w="185"/>
        <w:gridCol w:w="60"/>
        <w:gridCol w:w="125"/>
        <w:gridCol w:w="485"/>
        <w:gridCol w:w="60"/>
        <w:gridCol w:w="60"/>
        <w:gridCol w:w="60"/>
        <w:gridCol w:w="230"/>
        <w:gridCol w:w="185"/>
        <w:gridCol w:w="60"/>
        <w:gridCol w:w="181"/>
        <w:gridCol w:w="858"/>
        <w:gridCol w:w="268"/>
        <w:gridCol w:w="87"/>
        <w:gridCol w:w="181"/>
        <w:gridCol w:w="858"/>
        <w:gridCol w:w="185"/>
        <w:gridCol w:w="60"/>
        <w:gridCol w:w="125"/>
        <w:gridCol w:w="590"/>
        <w:gridCol w:w="60"/>
        <w:gridCol w:w="60"/>
        <w:gridCol w:w="60"/>
        <w:gridCol w:w="230"/>
        <w:gridCol w:w="206"/>
      </w:tblGrid>
      <w:tr>
        <w:tc>
          <w:tcPr>
            <w:tcW w:w="211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5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4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06"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11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pPr>
            <w:r>
              <w:t> </w:t>
            </w:r>
          </w:p>
        </w:tc>
        <w:tc>
          <w:tcPr>
            <w:tcW w:w="10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77"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ind w:left="0" w:right="0" w:hanging="0"/>
              <w:jc w:val="left"/>
            </w:pPr>
            <w:r>
              <w:t> </w:t>
            </w:r>
          </w:p>
        </w:tc>
        <w:tc>
          <w:tcPr>
            <w:tcW w:w="10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68"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87" w:type="dxa"/>
            <w:tcBorders/>
            <w:shd w:fill="FFFFFF" w:val="clear"/>
            <w:vAlign w:val="center"/>
          </w:tcPr>
          <w:p>
            <w:pPr>
              <w:pStyle w:val="TableContents"/>
              <w:bidi w:val="0"/>
              <w:spacing w:before="0" w:after="283"/>
              <w:ind w:left="0" w:right="0" w:hanging="0"/>
              <w:jc w:val="left"/>
            </w:pPr>
            <w: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06"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1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pPr>
            <w: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19,446</w:t>
            </w:r>
          </w:p>
        </w:tc>
        <w:tc>
          <w:tcPr>
            <w:tcW w:w="277"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ind w:left="0" w:right="0" w:hanging="0"/>
              <w:jc w:val="left"/>
            </w:pPr>
            <w: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15,435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55,090</w:t>
            </w:r>
          </w:p>
        </w:tc>
        <w:tc>
          <w:tcPr>
            <w:tcW w:w="268"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87" w:type="dxa"/>
            <w:tcBorders/>
            <w:shd w:fill="CCEEFF" w:val="clear"/>
            <w:vAlign w:val="center"/>
          </w:tcPr>
          <w:p>
            <w:pPr>
              <w:pStyle w:val="TableContents"/>
              <w:bidi w:val="0"/>
              <w:spacing w:before="0" w:after="283"/>
              <w:ind w:left="0" w:right="0" w:hanging="0"/>
              <w:jc w:val="left"/>
            </w:pPr>
            <w: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44,976</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116"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As a percentage of total revenues</w:t>
            </w:r>
          </w:p>
        </w:tc>
        <w:tc>
          <w:tcPr>
            <w:tcW w:w="60" w:type="dxa"/>
            <w:tcBorders/>
            <w:shd w:fill="FFFFFF" w:val="clear"/>
            <w:vAlign w:val="center"/>
          </w:tcPr>
          <w:p>
            <w:pPr>
              <w:pStyle w:val="TableContents"/>
              <w:bidi w:val="0"/>
              <w:spacing w:before="0" w:after="283"/>
              <w:jc w:val="left"/>
            </w:pPr>
            <w:r>
              <w:t> </w:t>
            </w:r>
          </w:p>
        </w:tc>
        <w:tc>
          <w:tcPr>
            <w:tcW w:w="187" w:type="dxa"/>
            <w:tcBorders/>
            <w:shd w:fill="FFFFFF" w:val="clear"/>
            <w:vAlign w:val="center"/>
          </w:tcPr>
          <w:p>
            <w:pPr>
              <w:pStyle w:val="TableContents"/>
              <w:bidi w:val="0"/>
              <w:spacing w:before="0" w:after="283"/>
              <w:ind w:left="0" w:right="0" w:hanging="0"/>
              <w:jc w:val="left"/>
            </w:pPr>
            <w: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7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jc w:val="left"/>
            </w:pPr>
            <w:r>
              <w:t> </w:t>
            </w:r>
          </w:p>
        </w:tc>
        <w:tc>
          <w:tcPr>
            <w:tcW w:w="187" w:type="dxa"/>
            <w:tcBorders/>
            <w:shd w:fill="FFFFFF" w:val="clear"/>
            <w:vAlign w:val="center"/>
          </w:tcPr>
          <w:p>
            <w:pPr>
              <w:pStyle w:val="TableContents"/>
              <w:bidi w:val="0"/>
              <w:spacing w:before="0" w:after="283"/>
              <w:ind w:left="0" w:right="0" w:hanging="0"/>
              <w:jc w:val="left"/>
            </w:pPr>
            <w:r>
              <w:t> </w:t>
            </w:r>
          </w:p>
        </w:tc>
        <w:tc>
          <w:tcPr>
            <w:tcW w:w="8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ind w:left="0" w:right="0" w:hanging="0"/>
              <w:jc w:val="left"/>
            </w:pPr>
            <w: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2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pPr>
            <w:r>
              <w:t> </w:t>
            </w:r>
          </w:p>
        </w:tc>
        <w:tc>
          <w:tcPr>
            <w:tcW w:w="181" w:type="dxa"/>
            <w:tcBorders/>
            <w:shd w:fill="FFFFFF" w:val="clear"/>
            <w:vAlign w:val="center"/>
          </w:tcPr>
          <w:p>
            <w:pPr>
              <w:pStyle w:val="TableContents"/>
              <w:bidi w:val="0"/>
              <w:spacing w:before="0" w:after="283"/>
              <w:ind w:left="0" w:right="0" w:hanging="0"/>
              <w:jc w:val="left"/>
            </w:pPr>
            <w:r>
              <w:t> </w:t>
            </w:r>
          </w:p>
        </w:tc>
        <w:tc>
          <w:tcPr>
            <w:tcW w:w="8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590"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30" w:type="dxa"/>
            <w:tcBorders/>
            <w:shd w:fill="FFFFFF" w:val="clear"/>
            <w:vAlign w:val="center"/>
          </w:tcPr>
          <w:p>
            <w:pPr>
              <w:pStyle w:val="TableContents"/>
              <w:bidi w:val="0"/>
              <w:spacing w:before="0" w:after="283"/>
              <w:jc w:val="right"/>
            </w:pPr>
            <w:r>
              <w:t> </w:t>
            </w:r>
          </w:p>
        </w:tc>
        <w:tc>
          <w:tcPr>
            <w:tcW w:w="206"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Research and development expenses consist primarily of personnel-related costs (including compensation, employee benefits, bonus and stock-based compensation expense), outside development services, travel expenses, third-party cloud-services related costs, IT and facilities cost allocations to support product development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Research and development expenses increased $4.0 million for the three months ended September 30, 2026, compared to the same period in 2025, primarily due to (i) a $3.2 million increase in personnel-related costs due to increased headcount, higher bonus expense, employee benefits expense and stock-based compensation, partially offset by an increase in capitalized software development costs, (ii) a $0.5 million increase in facilities and IT-related costs (including depreciation and amortization expense of property and equipment), and (iii) a $0.4 million increase in software license and maintenance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Research and development expenses increased $10.1 million for the nine months ended September 30, 2026, compared to the same period in 2025, primarily due to (i) a $6.9 million increase in personnel-related costs due to increased headcount, higher bonus expense, employee benefits expense, and stock-based compensation, partially offset by an increase in capitalized software development costs, (ii) a $1.7 million increase in facilities and IT-related costs (including depreciation and amortization expense of property and equipment), (iii) a $0.8 million increase in software license and maintenance costs, and (iv) a $0.7 million increase in subcontractor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anticipate our expenses in research and development will fluctuate in absolute dollars from period to period as a result of the size and the timing of product development projects.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Selling, General, and Administrative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5"/>
        <w:gridCol w:w="60"/>
        <w:gridCol w:w="186"/>
        <w:gridCol w:w="881"/>
        <w:gridCol w:w="276"/>
        <w:gridCol w:w="89"/>
        <w:gridCol w:w="186"/>
        <w:gridCol w:w="881"/>
        <w:gridCol w:w="185"/>
        <w:gridCol w:w="60"/>
        <w:gridCol w:w="125"/>
        <w:gridCol w:w="485"/>
        <w:gridCol w:w="60"/>
        <w:gridCol w:w="60"/>
        <w:gridCol w:w="69"/>
        <w:gridCol w:w="146"/>
        <w:gridCol w:w="185"/>
        <w:gridCol w:w="60"/>
        <w:gridCol w:w="180"/>
        <w:gridCol w:w="855"/>
        <w:gridCol w:w="267"/>
        <w:gridCol w:w="86"/>
        <w:gridCol w:w="180"/>
        <w:gridCol w:w="855"/>
        <w:gridCol w:w="185"/>
        <w:gridCol w:w="60"/>
        <w:gridCol w:w="125"/>
        <w:gridCol w:w="545"/>
        <w:gridCol w:w="80"/>
        <w:gridCol w:w="60"/>
        <w:gridCol w:w="60"/>
        <w:gridCol w:w="185"/>
        <w:gridCol w:w="243"/>
      </w:tblGrid>
      <w:tr>
        <w:tc>
          <w:tcPr>
            <w:tcW w:w="224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49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42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2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pPr>
            <w:r>
              <w:t> </w:t>
            </w:r>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7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89" w:type="dxa"/>
            <w:tcBorders/>
            <w:shd w:fill="FFFFFF" w:val="clear"/>
            <w:vAlign w:val="center"/>
          </w:tcPr>
          <w:p>
            <w:pPr>
              <w:pStyle w:val="TableContents"/>
              <w:bidi w:val="0"/>
              <w:spacing w:before="0" w:after="283"/>
              <w:ind w:left="0" w:right="0" w:hanging="0"/>
              <w:jc w:val="left"/>
            </w:pPr>
            <w:r>
              <w:t> </w:t>
            </w:r>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67"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86" w:type="dxa"/>
            <w:tcBorders/>
            <w:shd w:fill="FFFFFF" w:val="clear"/>
            <w:vAlign w:val="center"/>
          </w:tcPr>
          <w:p>
            <w:pPr>
              <w:pStyle w:val="TableContents"/>
              <w:bidi w:val="0"/>
              <w:spacing w:before="0" w:after="283"/>
              <w:ind w:left="0" w:right="0" w:hanging="0"/>
              <w:jc w:val="left"/>
            </w:pPr>
            <w:r>
              <w:t> </w:t>
            </w:r>
          </w:p>
        </w:tc>
        <w:tc>
          <w:tcPr>
            <w:tcW w:w="10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ind w:left="0" w:right="0" w:hanging="0"/>
              <w:jc w:val="left"/>
            </w:pPr>
            <w:r>
              <w:t> </w:t>
            </w:r>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20,969</w:t>
            </w:r>
          </w:p>
        </w:tc>
        <w:tc>
          <w:tcPr>
            <w:tcW w:w="276"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89" w:type="dxa"/>
            <w:tcBorders/>
            <w:shd w:fill="CCEEFF" w:val="clear"/>
            <w:vAlign w:val="center"/>
          </w:tcPr>
          <w:p>
            <w:pPr>
              <w:pStyle w:val="TableContents"/>
              <w:bidi w:val="0"/>
              <w:spacing w:before="0" w:after="283"/>
              <w:ind w:left="0" w:right="0" w:hanging="0"/>
              <w:jc w:val="left"/>
            </w:pPr>
            <w:r>
              <w:t> </w:t>
            </w:r>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19,944</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57,445</w:t>
            </w:r>
          </w:p>
        </w:tc>
        <w:tc>
          <w:tcPr>
            <w:tcW w:w="267"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86" w:type="dxa"/>
            <w:tcBorders/>
            <w:shd w:fill="CCEEFF" w:val="clear"/>
            <w:vAlign w:val="center"/>
          </w:tcPr>
          <w:p>
            <w:pPr>
              <w:pStyle w:val="TableContents"/>
              <w:bidi w:val="0"/>
              <w:spacing w:before="0" w:after="283"/>
              <w:ind w:left="0" w:right="0" w:hanging="0"/>
              <w:jc w:val="left"/>
            </w:pPr>
            <w: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63,060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24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As a percentage of total revenues</w:t>
            </w:r>
          </w:p>
        </w:tc>
        <w:tc>
          <w:tcPr>
            <w:tcW w:w="60" w:type="dxa"/>
            <w:tcBorders/>
            <w:shd w:fill="FFFFFF" w:val="clear"/>
            <w:vAlign w:val="center"/>
          </w:tcPr>
          <w:p>
            <w:pPr>
              <w:pStyle w:val="TableContents"/>
              <w:bidi w:val="0"/>
              <w:spacing w:before="0" w:after="283"/>
              <w:jc w:val="left"/>
            </w:pPr>
            <w:r>
              <w:t> </w:t>
            </w:r>
          </w:p>
        </w:tc>
        <w:tc>
          <w:tcPr>
            <w:tcW w:w="186" w:type="dxa"/>
            <w:tcBorders/>
            <w:shd w:fill="FFFFFF" w:val="clear"/>
            <w:vAlign w:val="center"/>
          </w:tcPr>
          <w:p>
            <w:pPr>
              <w:pStyle w:val="TableContents"/>
              <w:bidi w:val="0"/>
              <w:spacing w:before="0" w:after="283"/>
              <w:ind w:left="0" w:right="0" w:hanging="0"/>
              <w:jc w:val="left"/>
            </w:pPr>
            <w: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7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jc w:val="left"/>
            </w:pPr>
            <w:r>
              <w:t> </w:t>
            </w:r>
          </w:p>
        </w:tc>
        <w:tc>
          <w:tcPr>
            <w:tcW w:w="186" w:type="dxa"/>
            <w:tcBorders/>
            <w:shd w:fill="FFFFFF" w:val="clear"/>
            <w:vAlign w:val="center"/>
          </w:tcPr>
          <w:p>
            <w:pPr>
              <w:pStyle w:val="TableContents"/>
              <w:bidi w:val="0"/>
              <w:spacing w:before="0" w:after="283"/>
              <w:ind w:left="0" w:right="0" w:hanging="0"/>
              <w:jc w:val="left"/>
            </w:pPr>
            <w: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485" w:type="dxa"/>
            <w:tcBorders/>
            <w:shd w:fill="FFFFFF" w:val="clear"/>
            <w:vAlign w:val="center"/>
          </w:tcPr>
          <w:p>
            <w:pPr>
              <w:pStyle w:val="TableContents"/>
              <w:bidi w:val="0"/>
              <w:spacing w:before="0" w:after="283"/>
              <w:jc w:val="righ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9" w:type="dxa"/>
            <w:tcBorders/>
            <w:shd w:fill="FFFFFF" w:val="clear"/>
            <w:vAlign w:val="center"/>
          </w:tcPr>
          <w:p>
            <w:pPr>
              <w:pStyle w:val="TableContents"/>
              <w:bidi w:val="0"/>
              <w:spacing w:before="0" w:after="283"/>
              <w:jc w:val="left"/>
            </w:pPr>
            <w:r>
              <w:t> </w:t>
            </w:r>
          </w:p>
        </w:tc>
        <w:tc>
          <w:tcPr>
            <w:tcW w:w="146" w:type="dxa"/>
            <w:tcBorders/>
            <w:shd w:fill="FFFFFF" w:val="clear"/>
            <w:vAlign w:val="center"/>
          </w:tcPr>
          <w:p>
            <w:pPr>
              <w:pStyle w:val="TableContents"/>
              <w:bidi w:val="0"/>
              <w:spacing w:before="0" w:after="283"/>
              <w:jc w:val="right"/>
            </w:pPr>
            <w:r>
              <w:t> </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6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pPr>
            <w:r>
              <w:t> </w:t>
            </w:r>
          </w:p>
        </w:tc>
        <w:tc>
          <w:tcPr>
            <w:tcW w:w="180" w:type="dxa"/>
            <w:tcBorders/>
            <w:shd w:fill="FFFFFF" w:val="clear"/>
            <w:vAlign w:val="center"/>
          </w:tcPr>
          <w:p>
            <w:pPr>
              <w:pStyle w:val="TableContents"/>
              <w:bidi w:val="0"/>
              <w:spacing w:before="0" w:after="283"/>
              <w:ind w:left="0" w:right="0" w:hanging="0"/>
              <w:jc w:val="left"/>
            </w:pPr>
            <w:r>
              <w:t> </w:t>
            </w:r>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545" w:type="dxa"/>
            <w:tcBorders/>
            <w:shd w:fill="FFFFFF" w:val="clear"/>
            <w:vAlign w:val="center"/>
          </w:tcPr>
          <w:p>
            <w:pPr>
              <w:pStyle w:val="TableContents"/>
              <w:bidi w:val="0"/>
              <w:spacing w:before="0" w:after="283"/>
              <w:jc w:val="righ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85" w:type="dxa"/>
            <w:tcBorders/>
            <w:shd w:fill="FFFFFF" w:val="clear"/>
            <w:vAlign w:val="center"/>
          </w:tcPr>
          <w:p>
            <w:pPr>
              <w:pStyle w:val="TableContents"/>
              <w:bidi w:val="0"/>
              <w:spacing w:before="0" w:after="283"/>
              <w:jc w:val="right"/>
            </w:pPr>
            <w:r>
              <w:t> </w:t>
            </w:r>
          </w:p>
        </w:tc>
        <w:tc>
          <w:tcPr>
            <w:tcW w:w="243"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expenses consist primarily of personnel-related costs (including compensation, employee benefits, bonus, commission and stock-based compensation expense for sales, marketing, and general and administrative personnel), legal, tax and accounting services, marketing communications and trade conference-related expenses, third-party cloud-services related costs, travel, business acquisition and integration costs, IT and facilities cost allocations.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expenses increased $1.0 million for the three months ended September 30, 2026, compared to the same period in 2025, primarily due to (i) a $0.4 million increase in personnel-related costs mainly due to increased stock-based compensation, increased headcount, higher bonus expense, and employee benefits expense, partially offset by a lower compensation expense allocated to selling and marketing activities, (ii) a $0.3 million increase in legal expenses related to the arbitration proceeding over a disputed customer contract, (iii) a $0.2 million increase in software license and maintenance costs, and (iv) a $0.2 million increase in subcontractor expenses, partially offset by a $0.3 million decrease in facilities and IT-related costs due to a lower IT and facilities costs allocated to selling and marketing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expenses decreased $5.6 million for the nine months ended September 30, 2026, compared to the same period in 2025, primarily due to (i) a $4.5 million decrease in acquisition-related and integration costs related to the acquisition of SecureWise, (ii) a $2.2 million decrease in personnel-related costs mainly due to a lower compensation expense allocated to selling and marketing activities, partially offset by increased stock-based compensation, compensation expense due to increased headcount, higher bonus expense and employee benefits expense, and (iii) a $1.2 million decrease in facilities and IT-related costs, including shipping costs and third-party cloud-services related costs, partially offset by (i) a $0.7 million increase in legal expenses related to the arbitration proceeding over a disputed customer contract, (ii) a $0.6 million increase in software licenses and maintenance costs, (iii) a $0.5 million increase in subcontractor expenses, and (iv) a $0.2 million increase in travel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anticipate our selling, general, and administrative expenses will fluctuate in absolute dollars from period to period as a result of cost control initiatives and to support increased selling efforts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Amortization of Acquired Intangible Assets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69"/>
        <w:gridCol w:w="60"/>
        <w:gridCol w:w="236"/>
        <w:gridCol w:w="919"/>
        <w:gridCol w:w="113"/>
        <w:gridCol w:w="113"/>
        <w:gridCol w:w="236"/>
        <w:gridCol w:w="919"/>
        <w:gridCol w:w="60"/>
        <w:gridCol w:w="60"/>
        <w:gridCol w:w="125"/>
        <w:gridCol w:w="290"/>
        <w:gridCol w:w="80"/>
        <w:gridCol w:w="60"/>
        <w:gridCol w:w="60"/>
        <w:gridCol w:w="185"/>
        <w:gridCol w:w="227"/>
        <w:gridCol w:w="60"/>
        <w:gridCol w:w="228"/>
        <w:gridCol w:w="888"/>
        <w:gridCol w:w="109"/>
        <w:gridCol w:w="109"/>
        <w:gridCol w:w="228"/>
        <w:gridCol w:w="888"/>
        <w:gridCol w:w="60"/>
        <w:gridCol w:w="60"/>
        <w:gridCol w:w="125"/>
        <w:gridCol w:w="335"/>
        <w:gridCol w:w="60"/>
        <w:gridCol w:w="60"/>
        <w:gridCol w:w="60"/>
        <w:gridCol w:w="230"/>
        <w:gridCol w:w="193"/>
      </w:tblGrid>
      <w:tr>
        <w:tc>
          <w:tcPr>
            <w:tcW w:w="2769"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27"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4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9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76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pPr>
            <w:r>
              <w:t> </w:t>
            </w:r>
          </w:p>
        </w:tc>
        <w:tc>
          <w:tcPr>
            <w:tcW w:w="11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3" w:type="dxa"/>
            <w:tcBorders/>
            <w:shd w:fill="FFFFFF" w:val="clear"/>
            <w:vAlign w:val="center"/>
          </w:tcPr>
          <w:p>
            <w:pPr>
              <w:pStyle w:val="TableContents"/>
              <w:bidi w:val="0"/>
              <w:spacing w:before="0" w:after="283"/>
              <w:ind w:left="0" w:right="0" w:hanging="0"/>
              <w:jc w:val="left"/>
            </w:pPr>
            <w:r>
              <w:t> </w:t>
            </w:r>
          </w:p>
        </w:tc>
        <w:tc>
          <w:tcPr>
            <w:tcW w:w="11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27"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09" w:type="dxa"/>
            <w:tcBorders/>
            <w:shd w:fill="FFFFFF" w:val="clear"/>
            <w:vAlign w:val="center"/>
          </w:tcPr>
          <w:p>
            <w:pPr>
              <w:pStyle w:val="TableContents"/>
              <w:bidi w:val="0"/>
              <w:spacing w:before="0" w:after="283"/>
              <w:ind w:left="0" w:right="0" w:hanging="0"/>
              <w:jc w:val="left"/>
            </w:pPr>
            <w:r>
              <w:t> </w:t>
            </w:r>
          </w:p>
        </w:tc>
        <w:tc>
          <w:tcPr>
            <w:tcW w:w="11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9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76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 assets</w:t>
            </w:r>
          </w:p>
        </w:tc>
        <w:tc>
          <w:tcPr>
            <w:tcW w:w="60" w:type="dxa"/>
            <w:tcBorders/>
            <w:shd w:fill="CCEEFF" w:val="clear"/>
            <w:vAlign w:val="center"/>
          </w:tcPr>
          <w:p>
            <w:pPr>
              <w:pStyle w:val="TableContents"/>
              <w:bidi w:val="0"/>
              <w:spacing w:before="0" w:after="283"/>
              <w:ind w:left="0" w:right="0" w:hanging="0"/>
              <w:jc w:val="left"/>
            </w:pPr>
            <w: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13" w:type="dxa"/>
            <w:tcBorders/>
            <w:shd w:fill="CCEEFF" w:val="clear"/>
            <w:vAlign w:val="center"/>
          </w:tcPr>
          <w:p>
            <w:pPr>
              <w:pStyle w:val="TableContents"/>
              <w:bidi w:val="0"/>
              <w:spacing w:before="0" w:after="283"/>
              <w:ind w:left="0" w:right="0" w:hanging="0"/>
              <w:jc w:val="left"/>
            </w:pPr>
            <w: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3,157</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09" w:type="dxa"/>
            <w:tcBorders/>
            <w:shd w:fill="CCEEFF" w:val="clear"/>
            <w:vAlign w:val="center"/>
          </w:tcPr>
          <w:p>
            <w:pPr>
              <w:pStyle w:val="TableContents"/>
              <w:bidi w:val="0"/>
              <w:spacing w:before="0" w:after="283"/>
              <w:ind w:left="0" w:right="0" w:hanging="0"/>
              <w:jc w:val="left"/>
            </w:pPr>
            <w: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Amortization of acquired intangible assets represents amortization expense on intangibles assets acquired from business combinations in prior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amortization expense for the three months ended September 30, 2026, was flat compared to the same period in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increase in amortization expense for the nine months ended September 30, 2026, compared to the same period in 2025, was a result of the amortization of intangible assets acquired in the SecureWise acquisition in March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2"/>
        <w:gridCol w:w="60"/>
        <w:gridCol w:w="249"/>
        <w:gridCol w:w="1087"/>
        <w:gridCol w:w="159"/>
        <w:gridCol w:w="119"/>
        <w:gridCol w:w="249"/>
        <w:gridCol w:w="1087"/>
        <w:gridCol w:w="80"/>
        <w:gridCol w:w="60"/>
        <w:gridCol w:w="125"/>
        <w:gridCol w:w="395"/>
        <w:gridCol w:w="80"/>
        <w:gridCol w:w="60"/>
        <w:gridCol w:w="60"/>
        <w:gridCol w:w="185"/>
        <w:gridCol w:w="241"/>
        <w:gridCol w:w="60"/>
        <w:gridCol w:w="239"/>
        <w:gridCol w:w="1045"/>
        <w:gridCol w:w="152"/>
        <w:gridCol w:w="114"/>
        <w:gridCol w:w="239"/>
        <w:gridCol w:w="1045"/>
        <w:gridCol w:w="80"/>
        <w:gridCol w:w="60"/>
        <w:gridCol w:w="125"/>
        <w:gridCol w:w="335"/>
        <w:gridCol w:w="60"/>
        <w:gridCol w:w="60"/>
        <w:gridCol w:w="60"/>
        <w:gridCol w:w="230"/>
        <w:gridCol w:w="193"/>
      </w:tblGrid>
      <w:tr>
        <w:tc>
          <w:tcPr>
            <w:tcW w:w="1812"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9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1"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3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9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81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pPr>
            <w:r>
              <w:t> </w:t>
            </w:r>
          </w:p>
        </w:tc>
        <w:tc>
          <w:tcPr>
            <w:tcW w:w="13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59"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13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1"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52"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4" w:type="dxa"/>
            <w:tcBorders/>
            <w:shd w:fill="FFFFFF" w:val="clear"/>
            <w:vAlign w:val="center"/>
          </w:tcPr>
          <w:p>
            <w:pPr>
              <w:pStyle w:val="TableContents"/>
              <w:bidi w:val="0"/>
              <w:spacing w:before="0" w:after="283"/>
              <w:ind w:left="0" w:right="0" w:hanging="0"/>
              <w:jc w:val="left"/>
            </w:pPr>
            <w:r>
              <w:t> </w:t>
            </w:r>
          </w:p>
        </w:tc>
        <w:tc>
          <w:tcPr>
            <w:tcW w:w="12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93"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8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ind w:left="0" w:right="0" w:hanging="0"/>
              <w:jc w:val="left"/>
            </w:pPr>
            <w: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 w:type="dxa"/>
            <w:tcBorders/>
            <w:shd w:fill="CCEEFF" w:val="clear"/>
            <w:vAlign w:val="center"/>
          </w:tcPr>
          <w:p>
            <w:pPr>
              <w:pStyle w:val="TableContents"/>
              <w:bidi w:val="0"/>
              <w:spacing w:before="0" w:after="283"/>
              <w:ind w:left="0" w:right="0" w:hanging="0"/>
              <w:jc w:val="left"/>
            </w:pPr>
            <w: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(3,318</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 w:type="dxa"/>
            <w:tcBorders/>
            <w:shd w:fill="CCEEFF" w:val="clear"/>
            <w:vAlign w:val="center"/>
          </w:tcPr>
          <w:p>
            <w:pPr>
              <w:pStyle w:val="TableContents"/>
              <w:bidi w:val="0"/>
              <w:spacing w:before="0" w:after="283"/>
              <w:ind w:left="0" w:right="0" w:hanging="0"/>
              <w:jc w:val="left"/>
            </w:pPr>
            <w: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expense is from our long-term debt that was used in financing the acquisition of SecureWise in March 2025, and the related amortization of debt discount and issuance costs.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expense slightly decreased by $0.1 million for the three months ended September 30, 2026, compared to the same period in 2025, primarily due to lower interest rates on our long-term debt and lower outstanding debt balance.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expense increased $0.5 million for the nine months ended September 30, 2026, compared to the same period in 2025, was driven by a full three quarters of interest on long-term debt in 2026, compared to approximately two quarters of interest in 2025 following the drawdown of long-term debt in March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Income and Other, Net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6"/>
        <w:gridCol w:w="60"/>
        <w:gridCol w:w="256"/>
        <w:gridCol w:w="998"/>
        <w:gridCol w:w="123"/>
        <w:gridCol w:w="123"/>
        <w:gridCol w:w="256"/>
        <w:gridCol w:w="813"/>
        <w:gridCol w:w="80"/>
        <w:gridCol w:w="60"/>
        <w:gridCol w:w="125"/>
        <w:gridCol w:w="485"/>
        <w:gridCol w:w="60"/>
        <w:gridCol w:w="60"/>
        <w:gridCol w:w="60"/>
        <w:gridCol w:w="485"/>
        <w:gridCol w:w="185"/>
        <w:gridCol w:w="60"/>
        <w:gridCol w:w="259"/>
        <w:gridCol w:w="1006"/>
        <w:gridCol w:w="123"/>
        <w:gridCol w:w="123"/>
        <w:gridCol w:w="259"/>
        <w:gridCol w:w="694"/>
        <w:gridCol w:w="60"/>
        <w:gridCol w:w="60"/>
        <w:gridCol w:w="125"/>
        <w:gridCol w:w="485"/>
        <w:gridCol w:w="60"/>
        <w:gridCol w:w="60"/>
        <w:gridCol w:w="60"/>
        <w:gridCol w:w="335"/>
        <w:gridCol w:w="191"/>
      </w:tblGrid>
      <w:tr>
        <w:tc>
          <w:tcPr>
            <w:tcW w:w="2016"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56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46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01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pPr>
            <w:r>
              <w:t> </w:t>
            </w:r>
          </w:p>
        </w:tc>
        <w:tc>
          <w:tcPr>
            <w:tcW w:w="12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3"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ind w:left="0" w:right="0" w:hanging="0"/>
              <w:jc w:val="left"/>
            </w:pPr>
            <w: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3"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23" w:type="dxa"/>
            <w:tcBorders/>
            <w:shd w:fill="FFFFFF" w:val="clear"/>
            <w:vAlign w:val="center"/>
          </w:tcPr>
          <w:p>
            <w:pPr>
              <w:pStyle w:val="TableContents"/>
              <w:bidi w:val="0"/>
              <w:spacing w:before="0" w:after="283"/>
              <w:ind w:left="0" w:right="0" w:hanging="0"/>
              <w:jc w:val="left"/>
            </w:pPr>
            <w:r>
              <w:t> </w:t>
            </w:r>
          </w:p>
        </w:tc>
        <w:tc>
          <w:tcPr>
            <w:tcW w:w="9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20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and other, net</w:t>
            </w:r>
          </w:p>
        </w:tc>
        <w:tc>
          <w:tcPr>
            <w:tcW w:w="60" w:type="dxa"/>
            <w:tcBorders/>
            <w:shd w:fill="CCEEFF" w:val="clear"/>
            <w:vAlign w:val="center"/>
          </w:tcPr>
          <w:p>
            <w:pPr>
              <w:pStyle w:val="TableContents"/>
              <w:bidi w:val="0"/>
              <w:spacing w:before="0" w:after="283"/>
              <w:ind w:left="0" w:right="0" w:hanging="0"/>
              <w:jc w:val="left"/>
            </w:pPr>
            <w: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23" w:type="dxa"/>
            <w:tcBorders/>
            <w:shd w:fill="CCEEFF" w:val="clear"/>
            <w:vAlign w:val="center"/>
          </w:tcPr>
          <w:p>
            <w:pPr>
              <w:pStyle w:val="TableContents"/>
              <w:bidi w:val="0"/>
              <w:spacing w:before="0" w:after="283"/>
              <w:ind w:left="0" w:right="0" w:hanging="0"/>
              <w:jc w:val="left"/>
            </w:pPr>
            <w: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1,266</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2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2,447</w:t>
            </w:r>
          </w:p>
        </w:tc>
        <w:tc>
          <w:tcPr>
            <w:tcW w:w="123"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123" w:type="dxa"/>
            <w:tcBorders/>
            <w:shd w:fill="CCEEFF" w:val="clear"/>
            <w:vAlign w:val="center"/>
          </w:tcPr>
          <w:p>
            <w:pPr>
              <w:pStyle w:val="TableContents"/>
              <w:bidi w:val="0"/>
              <w:spacing w:before="0" w:after="283"/>
              <w:ind w:left="0" w:right="0" w:hanging="0"/>
              <w:jc w:val="left"/>
            </w:pPr>
            <w:r>
              <w:t> </w:t>
            </w:r>
          </w:p>
        </w:tc>
        <w:tc>
          <w:tcPr>
            <w:tcW w:w="2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income and other, net, primarily consists of interest income from cash and cash equivalents and accretion of net investment in lease, and foreign currency transaction exchange gains and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income and other, net increased $1.3 million for the three months ended September 30, 2026, compared to the same period in 2025, primarily due to a $1.2 million increase in interest income from cash and cash equivalents and accretion of net investment in lease.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income and other, net increased $1.5 million for the nine months ended September 30, 2026, compared to the same period in 2025, primarily due to a $1.8 million net favorable fluctuations in foreign currency exchange rates, and a $0.5 million increase in interest income from cash and cash equivalents and accretion of net investment in lease, partially offset by a $0.7 million decrease in other income due to a one-time recovery from previously written-off property and equipment in the second quarter of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 Expense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3"/>
        <w:gridCol w:w="60"/>
        <w:gridCol w:w="237"/>
        <w:gridCol w:w="1036"/>
        <w:gridCol w:w="152"/>
        <w:gridCol w:w="114"/>
        <w:gridCol w:w="237"/>
        <w:gridCol w:w="1036"/>
        <w:gridCol w:w="80"/>
        <w:gridCol w:w="60"/>
        <w:gridCol w:w="125"/>
        <w:gridCol w:w="395"/>
        <w:gridCol w:w="80"/>
        <w:gridCol w:w="60"/>
        <w:gridCol w:w="60"/>
        <w:gridCol w:w="290"/>
        <w:gridCol w:w="236"/>
        <w:gridCol w:w="60"/>
        <w:gridCol w:w="228"/>
        <w:gridCol w:w="998"/>
        <w:gridCol w:w="146"/>
        <w:gridCol w:w="109"/>
        <w:gridCol w:w="228"/>
        <w:gridCol w:w="998"/>
        <w:gridCol w:w="80"/>
        <w:gridCol w:w="60"/>
        <w:gridCol w:w="125"/>
        <w:gridCol w:w="485"/>
        <w:gridCol w:w="60"/>
        <w:gridCol w:w="60"/>
        <w:gridCol w:w="60"/>
        <w:gridCol w:w="335"/>
        <w:gridCol w:w="192"/>
      </w:tblGrid>
      <w:tr>
        <w:tc>
          <w:tcPr>
            <w:tcW w:w="172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8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0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3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7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92"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72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60" w:type="dxa"/>
            <w:tcBorders/>
            <w:shd w:fill="FFFFFF" w:val="clear"/>
            <w:vAlign w:val="center"/>
          </w:tcPr>
          <w:p>
            <w:pPr>
              <w:pStyle w:val="TableContents"/>
              <w:bidi w:val="0"/>
              <w:spacing w:before="0" w:after="283"/>
              <w:ind w:left="0" w:right="0" w:hanging="0"/>
              <w:jc w:val="left"/>
            </w:pPr>
            <w:r>
              <w:t> </w:t>
            </w:r>
          </w:p>
        </w:tc>
        <w:tc>
          <w:tcPr>
            <w:tcW w:w="12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52"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4" w:type="dxa"/>
            <w:tcBorders/>
            <w:shd w:fill="FFFFFF" w:val="clear"/>
            <w:vAlign w:val="center"/>
          </w:tcPr>
          <w:p>
            <w:pPr>
              <w:pStyle w:val="TableContents"/>
              <w:bidi w:val="0"/>
              <w:spacing w:before="0" w:after="283"/>
              <w:ind w:left="0" w:right="0" w:hanging="0"/>
              <w:jc w:val="left"/>
            </w:pPr>
            <w:r>
              <w:t> </w:t>
            </w:r>
          </w:p>
        </w:tc>
        <w:tc>
          <w:tcPr>
            <w:tcW w:w="12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3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09" w:type="dxa"/>
            <w:tcBorders/>
            <w:shd w:fill="FFFFFF" w:val="clear"/>
            <w:vAlign w:val="center"/>
          </w:tcPr>
          <w:p>
            <w:pPr>
              <w:pStyle w:val="TableContents"/>
              <w:bidi w:val="0"/>
              <w:spacing w:before="0" w:after="283"/>
              <w:ind w:left="0" w:right="0" w:hanging="0"/>
              <w:jc w:val="left"/>
            </w:pPr>
            <w:r>
              <w:t> </w:t>
            </w:r>
          </w:p>
        </w:tc>
        <w:tc>
          <w:tcPr>
            <w:tcW w:w="12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3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92"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17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ind w:left="0" w:right="0" w:hanging="0"/>
              <w:jc w:val="left"/>
            </w:pPr>
            <w:r>
              <w:t> </w:t>
            </w:r>
          </w:p>
        </w:tc>
        <w:tc>
          <w:tcPr>
            <w:tcW w:w="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 w:type="dxa"/>
            <w:tcBorders/>
            <w:shd w:fill="CCEEFF" w:val="clear"/>
            <w:vAlign w:val="center"/>
          </w:tcPr>
          <w:p>
            <w:pPr>
              <w:pStyle w:val="TableContents"/>
              <w:bidi w:val="0"/>
              <w:spacing w:before="0" w:after="283"/>
              <w:ind w:left="0" w:right="0" w:hanging="0"/>
              <w:jc w:val="left"/>
            </w:pPr>
            <w:r>
              <w:t> </w:t>
            </w:r>
          </w:p>
        </w:tc>
        <w:tc>
          <w:tcPr>
            <w:tcW w:w="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(2,889</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ind w:left="0" w:right="0" w:hanging="0"/>
              <w:jc w:val="left"/>
            </w:pPr>
            <w: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Income tax expense decreased $0.7 million for the three months ended September 30, 2026, and increased $1.7 million for the nine months ended September 30, 2026, compared to the same periods in 2025. The changes were primarily due to the impact of enacted U.S. federal tax legislation, changes in the foreign, federal and state taxes and year-to-date recognition of worldwide pre-tax income in relation to their forecasted amounts for the full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Any significant change in our future effective tax rates could adversely impact our consolidated financial position, results of operations and cash flows. Our future tax rates may be adversely affected by a number of factors including increase in expenses not deductible for tax purposes, new or changing tax legislation in the United States and in foreign countries where we are subject to tax jurisdictions, the geographic composition of our pre-tax income, the amount of our pre-tax income as business activities fluctuate, our ability to use tax attributes such as research and development tax credits and net operation losses, the tax effects of employee stock activity, audit examinations with adverse outcomes, changes in accounting principles generally accepted in the United States of America and the effectiveness of our tax planning strategies.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historically maintained a full valuation allowance against all the domestic DTAs because it was more likely than not that the DTAs will not be realized. The valuation allowance was approximately $69.9 million as of September 30, 2026, and December 31, 2025, which was related to U.S. net federal and state DTAs. The worldwide net DTA balances were immaterial as of September 30, 2026, and December 31, 2025. We intend to continue maintaining a full valuation allowance on the DTAs until sufficient evidence indicates its DTAs will be realized. However, considering our current assessment of the probability of maintaining profitability, there is a reasonable possibility that in the short term, a portion, or all, of the valuation allowance will no longer be prudent. As such, we may release a portion, or all, of the valuation allowance against DTAs within the next 12 months. This release, if any, will result in the recognition of certain DTAs and a decrease to income tax expense for the period such release is recorded. We are currently evaluating both quantitative and qualitative factors that may impact the valuation allowance assessment. Therefore, the exact timing and amount of the valuation allowance release are subject to our profitability and projected ability to utilize our tax attributes, among other factors.</w:t>
      </w:r>
    </w:p>
    <w:p>
      <w:pPr>
        <w:pStyle w:val="TextBody"/>
        <w:bidi w:val="0"/>
        <w:spacing w:before="0" w:after="283"/>
        <w:jc w:val="left"/>
      </w:pPr>
      <w: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September 30, 2026, our working capital, defined as total current assets less total current liabilities, was $179.1 million, compared to $92.0 million as of December 31, 2025. Total cash and cash equivalents were $107.1 million as of September 30, 2026, compared to $42.2 million as of December 31, 2025. As of September 30, 2026, and December 31, 2025, cash and cash equivalents held by our foreign subsidiaries were $13.3 million and $6.7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Our material cash requirements include payments for capital expenditures, principal and interest payments on our debt, cash needed to fund our operating activities, operating lease payments, and purchase obligations to support our operations. Additionally, we also use our available cash to pay for employees withholding tax obligations related to net share settlement of equity awards issued under the Company’s equity plan. Refer to Part I, Item 1, Financial Statements, Note 4, </w:t>
      </w:r>
      <w:r>
        <w:rPr>
          <w:rFonts w:ascii="Times New Roman" w:hAnsi="Times New Roman"/>
          <w:i/>
          <w:caps w:val="false"/>
          <w:smallCaps w:val="false"/>
          <w:sz w:val="20"/>
        </w:rPr>
        <w:t>Leases</w:t>
      </w:r>
      <w:r>
        <w:rPr>
          <w:rFonts w:ascii="Times New Roman" w:hAnsi="Times New Roman"/>
          <w:caps w:val="false"/>
          <w:smallCaps w:val="false"/>
          <w:sz w:val="20"/>
        </w:rPr>
        <w:t xml:space="preserve">, Note 5, </w:t>
      </w:r>
      <w:r>
        <w:rPr>
          <w:rFonts w:ascii="Times New Roman" w:hAnsi="Times New Roman"/>
          <w:i/>
          <w:caps w:val="false"/>
          <w:smallCaps w:val="false"/>
          <w:sz w:val="20"/>
        </w:rPr>
        <w:t>Debt</w:t>
      </w:r>
      <w:r>
        <w:rPr>
          <w:rFonts w:ascii="Times New Roman" w:hAnsi="Times New Roman"/>
          <w:caps w:val="false"/>
          <w:smallCaps w:val="false"/>
          <w:sz w:val="20"/>
        </w:rPr>
        <w:t xml:space="preserve">, Note 7, </w:t>
      </w:r>
      <w:r>
        <w:rPr>
          <w:rFonts w:ascii="Times New Roman" w:hAnsi="Times New Roman"/>
          <w:i/>
          <w:caps w:val="false"/>
          <w:smallCaps w:val="false"/>
          <w:sz w:val="20"/>
        </w:rPr>
        <w:t>Employee Benefit Plans</w:t>
      </w:r>
      <w:r>
        <w:rPr>
          <w:rFonts w:ascii="Times New Roman" w:hAnsi="Times New Roman"/>
          <w:caps w:val="false"/>
          <w:smallCaps w:val="false"/>
          <w:sz w:val="20"/>
        </w:rPr>
        <w:t xml:space="preserve">, and Note 12, </w:t>
      </w:r>
      <w:r>
        <w:rPr>
          <w:rFonts w:ascii="Times New Roman" w:hAnsi="Times New Roman"/>
          <w:i/>
          <w:caps w:val="false"/>
          <w:smallCaps w:val="false"/>
          <w:sz w:val="20"/>
        </w:rPr>
        <w:t>Commitments and Contingencies</w:t>
      </w:r>
      <w:r>
        <w:rPr>
          <w:rFonts w:ascii="Times New Roman" w:hAnsi="Times New Roman"/>
          <w:caps w:val="false"/>
          <w:smallCaps w:val="false"/>
          <w:sz w:val="20"/>
        </w:rPr>
        <w:t> for details relating to our material cash requirements for leasing arrangements, including future maturities of operating lease liabilities, debt, taxes related to net share settlement of equity awards, and purchase obligations, respectively. As we continuously grow our DirectScan systems business, we will also continuously invest in our DirectScan systems assets and our capital expenditures for the foreseeable future will be mainly related to the construction of these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believe that our existing cash resources and anticipated funds from operations will satisfy our cash requirements to fund our operating activities, capital expenditures, other obligations including repayment of long-term debt and corresponding interest for at least the next twelve months, and thereafter for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Secondary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May 2026, we completed a registered offering of an aggregate of 5,253,554 shares of the Company's common stock at a price of $44.00 per share. The shares sold consisted of 3,306,924 shares held by a selling stockholder and 1,946,630 shares newly issued by us. The net proceeds to us from the sale of shares of our common stock were approximately $81.8 million, after deducting $3.9 million of underwriting discounts and commissions. We did not receive any proceeds from the sale of shares by the selling stockholder.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Term Loan and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March 7, 2025, we entered into a Credit Agreement (the “Credit Agreement”) with the lenders who are party to the Credit Agreement and the lenders who may become a party to the Credit Agreement pursuant to the terms thereof (the “Lenders”) and Wells Fargo Bank, National Association, as administrative agent to the Lenders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Credit Agreement provides for (a) a revolving credit facility in an aggregate principal amount of $45.0 million (the “Revolving Credit Facility”) and (b) a term loan facility in an aggregate principal amount of $25.0 million (the “Term Loan” and together with the Revolving Credit Facility, the “Credit Facilities”). The principal of the Revolving Credit Facility is due as a balloon payment of $45.0 million in March 2030. The principal of the Term Loan is due in the amount of $0.6 million quarterly and a balloon payment of $13.1 million in March 2030.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April 23, 2026, we entered into a First Amendment to Credit Agreement (the “Amendment”) with the Lenders and the Agent to amend the Credit Agreement which increased the Revolving Credit Facility to an aggregate principal amount of $75.0 million. Under this facility, $30.0 million is available to us for drawdown as of September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September 30, 2026, our outstanding total debt, net of debt discounts and issuance costs, was $65.3 million, compared to $67.0 million as of December 31, 2025. We believe we have operating flexibility, cash flow, and access to capital markets to meet scheduled payments of our 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As of September 30, 2026, we were in compliance with all of the terms and conditions of the Credit Agreement, and management believes, based on its current financial projections, that we will be in compliance with our covenants over the next twelve months. </w:t>
      </w:r>
      <w:r>
        <w:rPr>
          <w:rFonts w:ascii="Times New Roman" w:hAnsi="Times New Roman"/>
          <w:i/>
          <w:caps w:val="false"/>
          <w:smallCaps w:val="false"/>
          <w:sz w:val="20"/>
        </w:rPr>
        <w:t>See</w:t>
      </w:r>
      <w:r>
        <w:rPr>
          <w:rFonts w:ascii="Times New Roman" w:hAnsi="Times New Roman"/>
          <w:caps w:val="false"/>
          <w:smallCaps w:val="false"/>
          <w:sz w:val="20"/>
        </w:rPr>
        <w:t xml:space="preserve"> Note 5, </w:t>
      </w:r>
      <w:r>
        <w:rPr>
          <w:rFonts w:ascii="Times New Roman" w:hAnsi="Times New Roman"/>
          <w:i/>
          <w:caps w:val="false"/>
          <w:smallCaps w:val="false"/>
          <w:sz w:val="20"/>
        </w:rPr>
        <w:t>Debt</w:t>
      </w:r>
      <w:r>
        <w:rPr>
          <w:rFonts w:ascii="Times New Roman" w:hAnsi="Times New Roman"/>
          <w:caps w:val="false"/>
          <w:smallCaps w:val="false"/>
          <w:sz w:val="20"/>
        </w:rPr>
        <w:t xml:space="preserve"> to our unaudited condensed consolidated financial statements in this Quarterly Report on Form 10</w:t>
        <w:noBreakHyphen/>
        <w:t>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Repurchase of Company</w:t>
      </w:r>
      <w:r>
        <w:rPr>
          <w:rFonts w:ascii="Times New Roman" w:hAnsi="Times New Roman"/>
          <w:caps w:val="false"/>
          <w:smallCaps w:val="false"/>
          <w:sz w:val="20"/>
        </w:rPr>
        <w:t>’</w:t>
      </w:r>
      <w:r>
        <w:rPr>
          <w:rFonts w:ascii="Times New Roman" w:hAnsi="Times New Roman"/>
          <w:b/>
          <w:i/>
          <w:caps w:val="false"/>
          <w:smallCaps w:val="false"/>
          <w:sz w:val="20"/>
        </w:rPr>
        <w:t>s Common Stock</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In May 2026, the Board of Directors adopted a new stock repurchase program (the “2026 Program”) to repurchase up to $50.0 million of the Company’s common stock both on the open market and in privately negotiated transactions, including through Rule 10b5-1 plans, from time to time, over the next two years from the adoption date. As of September 30, 2026, $50.0 million remained available under the 2026 Program. See details of our stock repurchase program in Note 6, </w:t>
      </w:r>
      <w:r>
        <w:rPr>
          <w:rFonts w:ascii="Times New Roman" w:hAnsi="Times New Roman"/>
          <w:i/>
          <w:caps w:val="false"/>
          <w:smallCaps w:val="false"/>
          <w:sz w:val="20"/>
        </w:rPr>
        <w:t>Stockholders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Equity </w:t>
      </w:r>
      <w:r>
        <w:rPr>
          <w:rFonts w:ascii="Times New Roman" w:hAnsi="Times New Roman"/>
          <w:caps w:val="false"/>
          <w:smallCaps w:val="false"/>
          <w:sz w:val="20"/>
        </w:rPr>
        <w:t>to our condensed consolidated financial statements in this Quarterly Report on Form 10</w:t>
        <w:noBreakHyphen/>
        <w:t>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Cash Flow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periods presented:</w:t>
      </w:r>
    </w:p>
    <w:p>
      <w:pPr>
        <w:pStyle w:val="TextBody"/>
        <w:bidi w:val="0"/>
        <w:spacing w:before="0" w:after="0"/>
        <w:ind w:left="0" w:right="0" w:hanging="0"/>
        <w:jc w:val="left"/>
        <w:rPr>
          <w:caps w:val="false"/>
          <w:smallCaps w:val="false"/>
        </w:rPr>
      </w:pPr>
      <w:r>
        <w:rPr>
          <w:caps w:val="false"/>
          <w:smallCaps w:val="false"/>
        </w:rPr>
        <w:t> </w:t>
      </w:r>
    </w:p>
    <w:tbl>
      <w:tblPr>
        <w:tblW w:w="9206" w:type="dxa"/>
        <w:jc w:val="left"/>
        <w:tblInd w:w="0" w:type="dxa"/>
        <w:tblLayout w:type="fixed"/>
        <w:tblCellMar>
          <w:top w:w="0" w:type="dxa"/>
          <w:left w:w="0" w:type="dxa"/>
          <w:bottom w:w="0" w:type="dxa"/>
          <w:right w:w="0" w:type="dxa"/>
        </w:tblCellMar>
      </w:tblPr>
      <w:tblGrid>
        <w:gridCol w:w="5180"/>
        <w:gridCol w:w="60"/>
        <w:gridCol w:w="202"/>
        <w:gridCol w:w="1055"/>
        <w:gridCol w:w="129"/>
        <w:gridCol w:w="97"/>
        <w:gridCol w:w="202"/>
        <w:gridCol w:w="1226"/>
        <w:gridCol w:w="80"/>
        <w:gridCol w:w="60"/>
        <w:gridCol w:w="125"/>
        <w:gridCol w:w="695"/>
        <w:gridCol w:w="95"/>
      </w:tblGrid>
      <w:tr>
        <w:tc>
          <w:tcPr>
            <w:tcW w:w="51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29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center"/>
            </w:pPr>
            <w:r>
              <w:t> </w:t>
            </w:r>
          </w:p>
        </w:tc>
        <w:tc>
          <w:tcPr>
            <w:tcW w:w="95" w:type="dxa"/>
            <w:tcBorders/>
            <w:shd w:fill="FFFFFF" w:val="clear"/>
            <w:vAlign w:val="center"/>
          </w:tcPr>
          <w:p>
            <w:pPr>
              <w:pStyle w:val="TableContents"/>
              <w:bidi w:val="0"/>
              <w:spacing w:before="0" w:after="283"/>
              <w:jc w:val="left"/>
            </w:pPr>
            <w:r>
              <w:t> </w:t>
            </w:r>
          </w:p>
        </w:tc>
      </w:tr>
      <w:tr>
        <w:tc>
          <w:tcPr>
            <w:tcW w:w="51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pPr>
            <w: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9"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ind w:left="0" w:right="0" w:hanging="0"/>
              <w:jc w:val="left"/>
            </w:pPr>
            <w:r>
              <w:t> </w:t>
            </w:r>
          </w:p>
        </w:tc>
        <w:tc>
          <w:tcPr>
            <w:tcW w:w="14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pPr>
            <w:r>
              <w:t> </w:t>
            </w:r>
          </w:p>
        </w:tc>
      </w:tr>
      <w:tr>
        <w:tc>
          <w:tcPr>
            <w:tcW w:w="5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flows provided by (used in):</w:t>
            </w:r>
          </w:p>
        </w:tc>
        <w:tc>
          <w:tcPr>
            <w:tcW w:w="60"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pPr>
            <w:r>
              <w:t> </w:t>
            </w:r>
          </w:p>
        </w:tc>
        <w:tc>
          <w:tcPr>
            <w:tcW w:w="1055" w:type="dxa"/>
            <w:tcBorders/>
            <w:shd w:fill="CCEEFF" w:val="clear"/>
            <w:vAlign w:val="center"/>
          </w:tcPr>
          <w:p>
            <w:pPr>
              <w:pStyle w:val="TableContents"/>
              <w:bidi w:val="0"/>
              <w:spacing w:before="0" w:after="283"/>
              <w:jc w:val="left"/>
            </w:pPr>
            <w:r>
              <w:t> </w:t>
            </w:r>
          </w:p>
        </w:tc>
        <w:tc>
          <w:tcPr>
            <w:tcW w:w="129"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jc w:val="left"/>
            </w:pPr>
            <w:r>
              <w:t> </w:t>
            </w:r>
          </w:p>
        </w:tc>
        <w:tc>
          <w:tcPr>
            <w:tcW w:w="1226"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r>
      <w:tr>
        <w:tc>
          <w:tcPr>
            <w:tcW w:w="51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FFFFFF" w:val="clear"/>
            <w:vAlign w:val="center"/>
          </w:tcPr>
          <w:p>
            <w:pPr>
              <w:pStyle w:val="TableContents"/>
              <w:bidi w:val="0"/>
              <w:spacing w:before="0" w:after="283"/>
              <w:ind w:left="0" w:right="0" w:hanging="0"/>
              <w:jc w:val="left"/>
            </w:pPr>
            <w: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31,834</w:t>
            </w:r>
          </w:p>
        </w:tc>
        <w:tc>
          <w:tcPr>
            <w:tcW w:w="129" w:type="dxa"/>
            <w:tcBorders/>
            <w:shd w:fill="FFFFFF" w:val="cle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ind w:left="0" w:right="0" w:hanging="0"/>
              <w:jc w:val="left"/>
            </w:pPr>
            <w: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25,122</w:t>
            </w:r>
          </w:p>
        </w:tc>
        <w:tc>
          <w:tcPr>
            <w:tcW w:w="95" w:type="dxa"/>
            <w:tcBorders/>
            <w:shd w:fill="FFFFFF" w:val="clear"/>
            <w:vAlign w:val="center"/>
          </w:tcPr>
          <w:p>
            <w:pPr>
              <w:pStyle w:val="TableContents"/>
              <w:bidi w:val="0"/>
              <w:spacing w:before="0" w:after="283"/>
              <w:jc w:val="left"/>
            </w:pPr>
            <w:r>
              <w:t> </w:t>
            </w:r>
          </w:p>
        </w:tc>
      </w:tr>
      <w:tr>
        <w:tc>
          <w:tcPr>
            <w:tcW w:w="518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activities</w:t>
            </w:r>
          </w:p>
        </w:tc>
        <w:tc>
          <w:tcPr>
            <w:tcW w:w="60"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ind w:left="0" w:right="0" w:hanging="0"/>
              <w:jc w:val="left"/>
            </w:pPr>
            <w: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(39,653</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pPr>
            <w:r>
              <w:t> </w:t>
            </w:r>
          </w:p>
        </w:tc>
        <w:tc>
          <w:tcPr>
            <w:tcW w:w="202" w:type="dxa"/>
            <w:tcBorders/>
            <w:shd w:fill="CCEEFF" w:val="clear"/>
            <w:vAlign w:val="center"/>
          </w:tcPr>
          <w:p>
            <w:pPr>
              <w:pStyle w:val="TableContents"/>
              <w:bidi w:val="0"/>
              <w:spacing w:before="0" w:after="283"/>
              <w:ind w:left="0" w:right="0" w:hanging="0"/>
              <w:jc w:val="left"/>
            </w:pPr>
            <w:r>
              <w:t> </w:t>
            </w:r>
          </w:p>
        </w:tc>
        <w:tc>
          <w:tcPr>
            <w:tcW w:w="12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(127,570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87,917</w:t>
            </w:r>
          </w:p>
        </w:tc>
        <w:tc>
          <w:tcPr>
            <w:tcW w:w="95" w:type="dxa"/>
            <w:tcBorders/>
            <w:shd w:fill="CCEEFF" w:val="clear"/>
            <w:vAlign w:val="center"/>
          </w:tcPr>
          <w:p>
            <w:pPr>
              <w:pStyle w:val="TableContents"/>
              <w:bidi w:val="0"/>
              <w:spacing w:before="0" w:after="283"/>
              <w:jc w:val="left"/>
            </w:pPr>
            <w:r>
              <w:t> </w:t>
            </w:r>
          </w:p>
        </w:tc>
      </w:tr>
      <w:tr>
        <w:tc>
          <w:tcPr>
            <w:tcW w:w="51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ind w:left="0" w:right="0" w:hanging="0"/>
              <w:jc w:val="left"/>
            </w:pPr>
            <w: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72,578</w:t>
            </w:r>
          </w:p>
        </w:tc>
        <w:tc>
          <w:tcPr>
            <w:tcW w:w="129" w:type="dxa"/>
            <w:tcBorders/>
            <w:shd w:fill="FFFFFF" w:val="cle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jc w:val="left"/>
            </w:pPr>
            <w:r>
              <w:t> </w:t>
            </w:r>
          </w:p>
        </w:tc>
        <w:tc>
          <w:tcPr>
            <w:tcW w:w="202" w:type="dxa"/>
            <w:tcBorders/>
            <w:shd w:fill="FFFFFF" w:val="clear"/>
            <w:vAlign w:val="center"/>
          </w:tcPr>
          <w:p>
            <w:pPr>
              <w:pStyle w:val="TableContents"/>
              <w:bidi w:val="0"/>
              <w:spacing w:before="0" w:after="283"/>
              <w:ind w:left="0" w:right="0" w:hanging="0"/>
              <w:jc w:val="left"/>
            </w:pPr>
            <w:r>
              <w:t> </w:t>
            </w:r>
          </w:p>
        </w:tc>
        <w:tc>
          <w:tcPr>
            <w:tcW w:w="12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65,453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7,125</w:t>
            </w:r>
          </w:p>
        </w:tc>
        <w:tc>
          <w:tcPr>
            <w:tcW w:w="95" w:type="dxa"/>
            <w:tcBorders/>
            <w:shd w:fill="FFFFFF" w:val="clear"/>
            <w:vAlign w:val="center"/>
          </w:tcPr>
          <w:p>
            <w:pPr>
              <w:pStyle w:val="TableContents"/>
              <w:bidi w:val="0"/>
              <w:spacing w:before="0" w:after="283"/>
              <w:jc w:val="left"/>
            </w:pPr>
            <w:r>
              <w:t> </w:t>
            </w:r>
          </w:p>
        </w:tc>
      </w:tr>
      <w:tr>
        <w:tc>
          <w:tcPr>
            <w:tcW w:w="518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p>
        </w:tc>
        <w:tc>
          <w:tcPr>
            <w:tcW w:w="60" w:type="dxa"/>
            <w:tcBorders/>
            <w:shd w:fill="CCEEFF" w:val="clear"/>
            <w:vAlign w:val="center"/>
          </w:tcPr>
          <w:p>
            <w:pPr>
              <w:pStyle w:val="TableContents"/>
              <w:bidi w:val="0"/>
              <w:spacing w:before="0" w:after="283"/>
              <w:jc w:val="left"/>
            </w:pPr>
            <w: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129"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12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 and cash equivalents</w:t>
            </w:r>
          </w:p>
        </w:tc>
        <w:tc>
          <w:tcPr>
            <w:tcW w:w="60" w:type="dxa"/>
            <w:tcBorders/>
            <w:shd w:fill="FFFFFF" w:val="clear"/>
            <w:vAlign w:val="center"/>
          </w:tcPr>
          <w:p>
            <w:pPr>
              <w:pStyle w:val="TableContents"/>
              <w:bidi w:val="0"/>
              <w:spacing w:before="0" w:after="283"/>
              <w:ind w:left="0" w:right="0" w:hanging="0"/>
              <w:jc w:val="left"/>
            </w:pPr>
            <w: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64,911</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97" w:type="dxa"/>
            <w:tcBorders/>
            <w:shd w:fill="FFFFFF" w:val="clear"/>
            <w:vAlign w:val="center"/>
          </w:tcPr>
          <w:p>
            <w:pPr>
              <w:pStyle w:val="TableContents"/>
              <w:bidi w:val="0"/>
              <w:spacing w:before="0" w:after="283"/>
              <w:ind w:left="0" w:right="0" w:hanging="0"/>
              <w:jc w:val="left"/>
            </w:pPr>
            <w: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(54,714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119,625</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Net Cash Flows Provided by Operating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Net cash flows provided by operating activities were $31.8 million for the nine months ended September 30, 2026, compared to $6.7 million for the same period in 2025. The increase in net cash flows provided by operating activities between the periods was primarily driven by higher collections from customers, and a decrease in payments for business acquisition-related costs and income taxes, partially offset by an increase in payments of interest related to bank loans, and bonus and incentive plans.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Cash Flows Used in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2026, net cash flows used in investing activities were $39.7 million related to purchases and prepayments of property and equipment, mainly related to our DirectScan systems assets and capitalized software development costs related to the next generation of Exensio Analytics Platform and Sapience Manufacturing Hub.</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net cash flows used in investing activities were $127.6 million, which were primarily related to $129.7 million payments for the acquisition of SecureWise, net of cash acquired and $23.1 million purchases and prepayments of property and equipment primarily related to our DirectScan systems assets, partially offset by $24.6 million proceeds from maturities and sales, net of purchases of short-term investments, and $0.6 million recovery from previously written-off property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Cash Flows Provided by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2026, net cash flows provided by financing activities were $72.6 million, which primarily consisted of $81.8 million proceeds from shares issued under secondary offering, net of underwriting discounts and commissions of $3.9 million, and $4.4 million proceeds from shares issued under our equity plans, partially offset by (i) $11.6 million in payments for taxes related to net share settlement of equity awards, (ii) $1.9 million repayment of long-term debt, and (iii) $0.1 million payments of debt issuance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net cash provided by financing activities were $65.5 million, which primarily consisted of $69.6 million proceeds from long-term debt, net of debt discount, that was used in financing the acquisition of SecureWise, and $4.2 million proceeds from our employee stock purchase plan and exercise of stock options, partially offset by (i) $5.9 million in cash payments for taxes related to net share settlement of equity awards, (ii) $1.3 million repayment of long-term debt, (iii) $0.9 million payments of debt issuance costs, and (iv) $0.2 million repurchases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Refer to Note 13, </w:t>
      </w:r>
      <w:r>
        <w:rPr>
          <w:rFonts w:ascii="Times New Roman" w:hAnsi="Times New Roman"/>
          <w:i/>
          <w:caps w:val="false"/>
          <w:smallCaps w:val="false"/>
          <w:sz w:val="20"/>
        </w:rPr>
        <w:t>Related Party Transactions</w:t>
      </w:r>
      <w:r>
        <w:rPr>
          <w:rFonts w:ascii="Times New Roman" w:hAnsi="Times New Roman"/>
          <w:caps w:val="false"/>
          <w:smallCaps w:val="false"/>
          <w:sz w:val="20"/>
        </w:rPr>
        <w:t>, to our condensed consolidated financial statements in this Quarterly Report on Form 10</w:t>
        <w:noBreakHyphen/>
        <w:t>Q, for the discussion about related party transactions between the Company and Advantest (as defined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Off-Balance Sheet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September 30, 2026, we do not have any off-balance sheet arrangements, investments in special purpose entities or undisclosed borrowings or debt.</w:t>
      </w:r>
    </w:p>
    <w:p>
      <w:pPr>
        <w:pStyle w:val="TextBody"/>
        <w:bidi w:val="0"/>
        <w:spacing w:before="0" w:after="283"/>
        <w:jc w:val="left"/>
      </w:pPr>
      <w:r>
        <w:t xml:space="preserve">  </w:t>
      </w:r>
    </w:p>
    <w:p>
      <w:pPr>
        <w:pStyle w:val="TextBody"/>
        <w:bidi w:val="0"/>
        <w:spacing w:before="0" w:after="0"/>
        <w:ind w:left="0" w:right="0" w:hanging="0"/>
        <w:jc w:val="left"/>
        <w:rPr>
          <w:rFonts w:ascii="Times New Roman" w:hAnsi="Times New Roman"/>
          <w:caps w:val="false"/>
          <w:smallCaps w:val="false"/>
          <w:sz w:val="20"/>
        </w:rPr>
      </w:pPr>
      <w:bookmarkStart w:id="11" w:name="quant"/>
      <w:bookmarkEnd w:id="1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discusses our exposure to market risk related to changes in interest rates and foreign currency exchange rates. We do not currently own any equity investments, nor do we expect to own any in the foreseeable future. This discussion contains forward-looking statements that are subject to risks and uncertainties. Actual results could vary materially as a result of a number of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Interest Rate Risk.</w:t>
      </w:r>
      <w:r>
        <w:rPr>
          <w:rFonts w:ascii="Times New Roman" w:hAnsi="Times New Roman"/>
          <w:caps w:val="false"/>
          <w:smallCaps w:val="false"/>
          <w:sz w:val="20"/>
        </w:rPr>
        <w:t xml:space="preserve"> Our exposure to market risk for changes in interest rates relates primarily to our investment portfolio and long-term debt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September 30, 2026, we had cash and cash equivalents of $107.1 million. Cash and cash equivalents consisted of cash and highly liquid money market instruments. We would not expect our operating results or cash flows to be affected to any significant degree by the effect of a sudden change in market interest rates on our portfolio. A hypothetical increase in market interest rates of 100 basis points from the market rates in effect as of September 30, 2026, would cause the fair value of these investments to decrease by an immaterial amount which would not have significantly impacted our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September 30, 2026, and periodically throughout the year, we have maintained cash balances in various operating accounts in excess of federally insured limits. We limit the amount of credit exposure to any financial institution by evaluating the creditworthiness of the financial institutions with which we invest and investing through more than one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exposed to interest rate risk through our variable rate debt. As of September 30, 2026, we had $66.3 million of debt that is subject to variable interest rates that are based on the daily simple secured overnight financing rate (“SOFR”) or an alternate base rate. Refer to Note 5 – </w:t>
      </w:r>
      <w:r>
        <w:rPr>
          <w:rFonts w:ascii="Times New Roman" w:hAnsi="Times New Roman"/>
          <w:i/>
          <w:caps w:val="false"/>
          <w:smallCaps w:val="false"/>
          <w:sz w:val="20"/>
        </w:rPr>
        <w:t>Debt</w:t>
      </w:r>
      <w:r>
        <w:rPr>
          <w:rFonts w:ascii="Times New Roman" w:hAnsi="Times New Roman"/>
          <w:caps w:val="false"/>
          <w:smallCaps w:val="false"/>
          <w:sz w:val="20"/>
        </w:rPr>
        <w:t> for details relating to the debt. If the rates were to increase by 100 basis points from the rates in effect as of September 30, 2026, our interest expense on the variable rate debt would increase by an average of $0.4 million annually. There are inherent limitations in the sensitivity analysis presented, primarily due to the assumptions that interest rate changes would be instantaneous, while SOFR changes regularly. We do not currently hedge our interest rate risks but may determine to do so in the future. We will continue to monitor our exposure to 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Foreign Currency and Exchange Risk.</w:t>
      </w:r>
      <w:r>
        <w:rPr>
          <w:rFonts w:ascii="Times New Roman" w:hAnsi="Times New Roman"/>
          <w:caps w:val="false"/>
          <w:smallCaps w:val="false"/>
          <w:sz w:val="20"/>
        </w:rPr>
        <w:t> Certain of our cash balances, receivables and payables for our international offices are denominated in the local currency, including the Euro, Yen, Chinese Yuan, New Taiwan Dollar, and Canadian Dollar. Therefore, some of our activities including a portion of our revenues and operating expenditures are subject to foreign currency risks. We also have intercompany transactions with and between certain of our subsidiaries of differing functional currencies, resulting in foreign transaction gains or losses based on our period-end exchange rates. Due to potential volatility of currency exchange rates, we cannot predict the effect of exchange fluctuations on our business. To date, we have not entered into any foreign currency exchange contracts and currently do not expect to enter into foreign currency exchange contracts for trading or speculative purposes.</w:t>
      </w:r>
    </w:p>
    <w:p>
      <w:pPr>
        <w:pStyle w:val="TextBody"/>
        <w:bidi w:val="0"/>
        <w:spacing w:before="0" w:after="283"/>
        <w:jc w:val="left"/>
      </w:pPr>
      <w:r>
        <w:t xml:space="preserve">  </w:t>
      </w:r>
    </w:p>
    <w:p>
      <w:pPr>
        <w:pStyle w:val="TextBody"/>
        <w:bidi w:val="0"/>
        <w:spacing w:before="0" w:after="0"/>
        <w:ind w:left="0" w:right="0" w:hanging="0"/>
        <w:jc w:val="left"/>
        <w:rPr>
          <w:rFonts w:ascii="Times New Roman" w:hAnsi="Times New Roman"/>
          <w:b/>
          <w:caps w:val="false"/>
          <w:smallCaps w:val="false"/>
          <w:sz w:val="20"/>
        </w:rPr>
      </w:pPr>
      <w:bookmarkStart w:id="12" w:name="controls"/>
      <w:bookmarkEnd w:id="12"/>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management, with the participation of our principal executive officer and principal financial and accounting officer, evaluated the effectiveness of our “disclosure controls and procedures” as defined in Exchange Act Rules 13a</w:t>
        <w:noBreakHyphen/>
        <w:t>15(e) and 15d</w:t>
        <w:noBreakHyphen/>
        <w:t>15(e) as of September 30, 2026, in connection with the filing of this Quarterly Report on Form 10</w:t>
        <w:noBreakHyphen/>
        <w:t>Q. Based on that evaluation as of September 30, 2026, our principal executive officer and principal financial and accounting officer concluded that our disclosure controls and procedures were effective to ensure that information we are required to disclose in reports that we file or submit under the Exchange Act is recorded, processed, summarized and reported within the time periods specified in the rules and forms of the SEC and is accumulated and communicated to our management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There were no changes in the Company’s internal control over financial reporting during the quarter ended September 30, 2026, that have materially affected, or are reasonably likely to materially affect, the Company’s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3" w:name="part2"/>
      <w:bookmarkEnd w:id="13"/>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II</w:t>
      </w:r>
      <w:r>
        <w:rPr>
          <w:rFonts w:ascii="Times New Roman" w:hAnsi="Times New Roman"/>
          <w:caps w:val="false"/>
          <w:smallCaps w:val="false"/>
          <w:sz w:val="20"/>
        </w:rPr>
        <w:t xml:space="preserve"> —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4" w:name="legal"/>
      <w:bookmarkEnd w:id="1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Refer to Note 12, </w:t>
      </w:r>
      <w:r>
        <w:rPr>
          <w:rFonts w:ascii="Times New Roman" w:hAnsi="Times New Roman"/>
          <w:i/>
          <w:caps w:val="false"/>
          <w:smallCaps w:val="false"/>
          <w:sz w:val="20"/>
        </w:rPr>
        <w:t>Commitments and Contingencies</w:t>
      </w:r>
      <w:r>
        <w:rPr>
          <w:rFonts w:ascii="Times New Roman" w:hAnsi="Times New Roman"/>
          <w:caps w:val="false"/>
          <w:smallCaps w:val="false"/>
          <w:sz w:val="20"/>
        </w:rPr>
        <w:t xml:space="preserve"> to our condensed consolidated financial statements in this Quarterly Report on Form 10-Q, for information regarding our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5" w:name="risk"/>
      <w:bookmarkEnd w:id="1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the date of this Quarterly Report on Form 10-Q, there have been no material changes from the risk factors disclosed in our Annual Report on Form 10-K for the year ended December 31, 2025, filed with the SEC on February 24, 2026. Any of such factors could result in a significant or material adverse effect on our results of operations or financial conditions.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6" w:name="unregistered"/>
      <w:bookmarkEnd w:id="1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Repurchase of Shares of Company Equity Securities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There was no stock repurchase during the third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caps w:val="false"/>
          <w:smallCaps w:val="false"/>
          <w:sz w:val="20"/>
        </w:rPr>
      </w:pPr>
      <w:bookmarkStart w:id="17" w:name="defaults"/>
      <w:bookmarkEnd w:id="1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8" w:name="mine"/>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xml:space="preserve">  </w:t>
      </w:r>
    </w:p>
    <w:p>
      <w:pPr>
        <w:pStyle w:val="TextBody"/>
        <w:bidi w:val="0"/>
        <w:spacing w:before="0" w:after="0"/>
        <w:ind w:left="0" w:right="0" w:hanging="0"/>
        <w:jc w:val="left"/>
      </w:pPr>
      <w:bookmarkStart w:id="19" w:name="otherinfo"/>
      <w:bookmarkEnd w:id="19"/>
      <w:r>
        <w:rPr>
          <w:rFonts w:ascii="Times New Roman" w:hAnsi="Times New Roman"/>
          <w:b/>
          <w:caps w:val="false"/>
          <w:smallCaps w:val="false"/>
          <w:sz w:val="20"/>
        </w:rPr>
        <w:t>Item</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Insider Adoption or Termination of Trading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pPr>
      <w:r>
        <w:rPr>
          <w:rFonts w:ascii="Times New Roman" w:hAnsi="Times New Roman"/>
          <w:caps w:val="false"/>
          <w:smallCaps w:val="false"/>
          <w:sz w:val="20"/>
        </w:rPr>
        <w:t xml:space="preserve">During the quarter ended </w:t>
      </w:r>
      <w:r>
        <w:rPr>
          <w:rStyle w:val="Emphasis"/>
          <w:rFonts w:ascii="Times New Roman" w:hAnsi="Times New Roman"/>
          <w:caps w:val="false"/>
          <w:smallCaps w:val="false"/>
          <w:sz w:val="20"/>
        </w:rPr>
        <w:t>September 30, 2026</w:t>
      </w:r>
      <w:r>
        <w:rPr>
          <w:rFonts w:ascii="Times New Roman" w:hAnsi="Times New Roman"/>
          <w:caps w:val="false"/>
          <w:smallCaps w:val="false"/>
          <w:sz w:val="20"/>
        </w:rPr>
        <w:t xml:space="preserve">, none of our directors or officers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those terms are defined in Regulation S-K, Item </w:t>
      </w:r>
      <w:r>
        <w:rPr>
          <w:rStyle w:val="Emphasis"/>
          <w:rFonts w:ascii="Times New Roman" w:hAnsi="Times New Roman"/>
          <w:caps w:val="false"/>
          <w:smallCaps w:val="false"/>
          <w:sz w:val="20"/>
        </w:rPr>
        <w:t>408.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pPr>
      <w:r>
        <w:rPr>
          <w:rStyle w:val="Emphasis"/>
          <w:rFonts w:ascii="Times New Roman" w:hAnsi="Times New Roman"/>
          <w:sz w:val="20"/>
        </w:rPr>
        <w:t>42</w:t>
      </w:r>
      <w:r>
        <w:rPr>
          <w:rFonts w:ascii="Times New Roman" w:hAnsi="Times New Roman"/>
          <w:sz w:val="20"/>
        </w:rPr>
        <w:t xml:space="preserve"> </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jc w:val="left"/>
      </w:pPr>
      <w:r>
        <w:t xml:space="preserve">  </w:t>
      </w:r>
    </w:p>
    <w:p>
      <w:pPr>
        <w:pStyle w:val="TextBody"/>
        <w:bidi w:val="0"/>
        <w:spacing w:before="0" w:after="283"/>
        <w:jc w:val="left"/>
      </w:pPr>
      <w:r>
        <w:t xml:space="preserve">  </w:t>
      </w:r>
    </w:p>
    <w:p>
      <w:pPr>
        <w:pStyle w:val="TextBody"/>
        <w:bidi w:val="0"/>
        <w:spacing w:before="0" w:after="0"/>
        <w:ind w:left="0" w:right="0" w:hanging="0"/>
        <w:jc w:val="left"/>
        <w:rPr>
          <w:rFonts w:ascii="Times New Roman" w:hAnsi="Times New Roman"/>
          <w:caps w:val="false"/>
          <w:smallCaps w:val="false"/>
          <w:sz w:val="20"/>
        </w:rPr>
      </w:pPr>
      <w:bookmarkStart w:id="20" w:name="exhibits"/>
      <w:bookmarkEnd w:id="2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 Exhibits</w:t>
      </w:r>
    </w:p>
    <w:tbl>
      <w:tblPr>
        <w:tblW w:w="10205" w:type="dxa"/>
        <w:jc w:val="left"/>
        <w:tblInd w:w="0" w:type="dxa"/>
        <w:tblLayout w:type="fixed"/>
        <w:tblCellMar>
          <w:top w:w="0" w:type="dxa"/>
          <w:left w:w="0" w:type="dxa"/>
          <w:bottom w:w="0" w:type="dxa"/>
          <w:right w:w="0" w:type="dxa"/>
        </w:tblCellMar>
      </w:tblPr>
      <w:tblGrid>
        <w:gridCol w:w="725"/>
        <w:gridCol w:w="60"/>
        <w:gridCol w:w="5778"/>
        <w:gridCol w:w="60"/>
        <w:gridCol w:w="500"/>
        <w:gridCol w:w="60"/>
        <w:gridCol w:w="572"/>
        <w:gridCol w:w="60"/>
        <w:gridCol w:w="775"/>
        <w:gridCol w:w="60"/>
        <w:gridCol w:w="598"/>
        <w:gridCol w:w="60"/>
        <w:gridCol w:w="897"/>
      </w:tblGrid>
      <w:tr>
        <w:tc>
          <w:tcPr>
            <w:tcW w:w="72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778"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967" w:type="dxa"/>
            <w:gridSpan w:val="5"/>
            <w:tcBorders>
              <w:bottom w:val="single" w:sz="2" w:space="0" w:color="000000"/>
            </w:tcBorders>
            <w:tcMar>
              <w:bottom w:w="6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Incorporated by Reference</w:t>
            </w:r>
          </w:p>
        </w:tc>
        <w:tc>
          <w:tcPr>
            <w:tcW w:w="60" w:type="dxa"/>
            <w:tcBorders/>
            <w:vAlign w:val="center"/>
          </w:tcPr>
          <w:p>
            <w:pPr>
              <w:pStyle w:val="TableContents"/>
              <w:bidi w:val="0"/>
              <w:spacing w:before="0" w:after="283"/>
              <w:jc w:val="left"/>
            </w:pPr>
            <w:r>
              <w:t> </w:t>
            </w:r>
          </w:p>
        </w:tc>
        <w:tc>
          <w:tcPr>
            <w:tcW w:w="598"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97" w:type="dxa"/>
            <w:tcBorders/>
            <w:vAlign w:val="center"/>
          </w:tcPr>
          <w:p>
            <w:pPr>
              <w:pStyle w:val="TableContents"/>
              <w:bidi w:val="0"/>
              <w:spacing w:before="0" w:after="283"/>
              <w:jc w:val="left"/>
            </w:pPr>
            <w:r>
              <w:t> </w:t>
            </w:r>
          </w:p>
        </w:tc>
      </w:tr>
      <w:tr>
        <w:tc>
          <w:tcPr>
            <w:tcW w:w="725" w:type="dxa"/>
            <w:tcBorders>
              <w:bottom w:val="single" w:sz="2" w:space="0" w:color="000000"/>
            </w:tcBorders>
            <w:tcMar>
              <w:bottom w:w="6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Exhibit</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Number</w:t>
            </w:r>
          </w:p>
        </w:tc>
        <w:tc>
          <w:tcPr>
            <w:tcW w:w="60" w:type="dxa"/>
            <w:tcBorders/>
            <w:vAlign w:val="center"/>
          </w:tcPr>
          <w:p>
            <w:pPr>
              <w:pStyle w:val="TableContents"/>
              <w:bidi w:val="0"/>
              <w:spacing w:before="0" w:after="283"/>
              <w:jc w:val="left"/>
            </w:pPr>
            <w:r>
              <w:t> </w:t>
            </w:r>
          </w:p>
        </w:tc>
        <w:tc>
          <w:tcPr>
            <w:tcW w:w="5778" w:type="dxa"/>
            <w:tcBorders>
              <w:bottom w:val="single" w:sz="2" w:space="0" w:color="000000"/>
            </w:tcBorders>
            <w:tcMar>
              <w:bottom w:w="6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Description</w:t>
            </w:r>
          </w:p>
        </w:tc>
        <w:tc>
          <w:tcPr>
            <w:tcW w:w="60" w:type="dxa"/>
            <w:tcBorders/>
            <w:vAlign w:val="center"/>
          </w:tcPr>
          <w:p>
            <w:pPr>
              <w:pStyle w:val="TableContents"/>
              <w:bidi w:val="0"/>
              <w:spacing w:before="0" w:after="283"/>
              <w:jc w:val="left"/>
            </w:pPr>
            <w:r>
              <w:t> </w:t>
            </w:r>
          </w:p>
        </w:tc>
        <w:tc>
          <w:tcPr>
            <w:tcW w:w="500" w:type="dxa"/>
            <w:tcBorders>
              <w:bottom w:val="single" w:sz="2" w:space="0" w:color="000000"/>
            </w:tcBorders>
            <w:tcMar>
              <w:bottom w:w="6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Form</w:t>
            </w:r>
          </w:p>
        </w:tc>
        <w:tc>
          <w:tcPr>
            <w:tcW w:w="60" w:type="dxa"/>
            <w:tcBorders/>
            <w:vAlign w:val="center"/>
          </w:tcPr>
          <w:p>
            <w:pPr>
              <w:pStyle w:val="TableContents"/>
              <w:bidi w:val="0"/>
              <w:spacing w:before="0" w:after="283"/>
              <w:jc w:val="left"/>
            </w:pPr>
            <w:r>
              <w:t> </w:t>
            </w:r>
          </w:p>
        </w:tc>
        <w:tc>
          <w:tcPr>
            <w:tcW w:w="572" w:type="dxa"/>
            <w:tcBorders>
              <w:bottom w:val="single" w:sz="2" w:space="0" w:color="000000"/>
            </w:tcBorders>
            <w:tcMar>
              <w:bottom w:w="6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Filing Date</w:t>
            </w:r>
          </w:p>
        </w:tc>
        <w:tc>
          <w:tcPr>
            <w:tcW w:w="60" w:type="dxa"/>
            <w:tcBorders/>
            <w:vAlign w:val="center"/>
          </w:tcPr>
          <w:p>
            <w:pPr>
              <w:pStyle w:val="TableContents"/>
              <w:bidi w:val="0"/>
              <w:spacing w:before="0" w:after="283"/>
              <w:jc w:val="left"/>
            </w:pPr>
            <w:r>
              <w:t> </w:t>
            </w:r>
          </w:p>
        </w:tc>
        <w:tc>
          <w:tcPr>
            <w:tcW w:w="775" w:type="dxa"/>
            <w:tcBorders>
              <w:bottom w:val="single" w:sz="2" w:space="0" w:color="000000"/>
            </w:tcBorders>
            <w:tcMar>
              <w:bottom w:w="6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Number</w:t>
            </w:r>
          </w:p>
        </w:tc>
        <w:tc>
          <w:tcPr>
            <w:tcW w:w="60" w:type="dxa"/>
            <w:tcBorders/>
            <w:vAlign w:val="center"/>
          </w:tcPr>
          <w:p>
            <w:pPr>
              <w:pStyle w:val="TableContents"/>
              <w:bidi w:val="0"/>
              <w:spacing w:before="0" w:after="283"/>
              <w:jc w:val="left"/>
            </w:pPr>
            <w:r>
              <w:t> </w:t>
            </w:r>
          </w:p>
        </w:tc>
        <w:tc>
          <w:tcPr>
            <w:tcW w:w="598" w:type="dxa"/>
            <w:tcBorders>
              <w:bottom w:val="single" w:sz="2" w:space="0" w:color="000000"/>
            </w:tcBorders>
            <w:tcMar>
              <w:bottom w:w="6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 File No.</w:t>
            </w:r>
          </w:p>
        </w:tc>
        <w:tc>
          <w:tcPr>
            <w:tcW w:w="60" w:type="dxa"/>
            <w:tcBorders/>
            <w:vAlign w:val="center"/>
          </w:tcPr>
          <w:p>
            <w:pPr>
              <w:pStyle w:val="TableContents"/>
              <w:bidi w:val="0"/>
              <w:spacing w:before="0" w:after="283"/>
              <w:jc w:val="left"/>
            </w:pPr>
            <w:r>
              <w:t> </w:t>
            </w:r>
          </w:p>
        </w:tc>
        <w:tc>
          <w:tcPr>
            <w:tcW w:w="897" w:type="dxa"/>
            <w:tcBorders>
              <w:bottom w:val="single" w:sz="2" w:space="0" w:color="000000"/>
            </w:tcBorders>
            <w:tcMar>
              <w:bottom w:w="6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Provided Herewith</w:t>
            </w:r>
          </w:p>
        </w:tc>
      </w:tr>
      <w:t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3.01</w:t>
            </w:r>
          </w:p>
        </w:tc>
        <w:tc>
          <w:tcPr>
            <w:tcW w:w="60" w:type="dxa"/>
            <w:tcBorders/>
            <w:vAlign w:val="center"/>
          </w:tcPr>
          <w:p>
            <w:pPr>
              <w:pStyle w:val="TableContents"/>
              <w:bidi w:val="0"/>
              <w:spacing w:before="0" w:after="283"/>
              <w:jc w:val="left"/>
            </w:pPr>
            <w:r>
              <w:t> </w:t>
            </w:r>
          </w:p>
        </w:tc>
        <w:tc>
          <w:tcPr>
            <w:tcW w:w="5778" w:type="dxa"/>
            <w:tcBorders/>
            <w:vAlign w:val="center"/>
          </w:tcPr>
          <w:p>
            <w:pPr>
              <w:pStyle w:val="TableContents"/>
              <w:bidi w:val="0"/>
              <w:spacing w:before="0" w:after="0"/>
              <w:ind w:left="0" w:right="0" w:hanging="0"/>
              <w:jc w:val="left"/>
            </w:pPr>
            <w:hyperlink r:id="rId2">
              <w:r>
                <w:rPr>
                  <w:rStyle w:val="InternetLink"/>
                  <w:rFonts w:ascii="Times New Roman;Times;serif" w:hAnsi="Times New Roman;Times;serif"/>
                  <w:caps w:val="false"/>
                  <w:smallCaps w:val="false"/>
                  <w:sz w:val="20"/>
                </w:rPr>
                <w:t>Third Amended and Restated Certificate of Incorporation of PDF Solutions, Inc., and Certificate of Amendment to Third Amended and Restated Certificate of Incorporation of PDF Solutions, Inc.</w:t>
              </w:r>
            </w:hyperlink>
          </w:p>
        </w:tc>
        <w:tc>
          <w:tcPr>
            <w:tcW w:w="60" w:type="dxa"/>
            <w:tcBorders/>
            <w:vAlign w:val="center"/>
          </w:tcPr>
          <w:p>
            <w:pPr>
              <w:pStyle w:val="TableContents"/>
              <w:bidi w:val="0"/>
              <w:spacing w:before="0" w:after="283"/>
              <w:jc w:val="left"/>
            </w:pPr>
            <w: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10-Q</w:t>
            </w:r>
          </w:p>
        </w:tc>
        <w:tc>
          <w:tcPr>
            <w:tcW w:w="60" w:type="dxa"/>
            <w:tcBorders/>
            <w:vAlign w:val="center"/>
          </w:tcPr>
          <w:p>
            <w:pPr>
              <w:pStyle w:val="TableContents"/>
              <w:bidi w:val="0"/>
              <w:spacing w:before="0" w:after="283"/>
              <w:jc w:val="left"/>
            </w:pPr>
            <w:r>
              <w:t> </w:t>
            </w:r>
          </w:p>
        </w:tc>
        <w:tc>
          <w:tcPr>
            <w:tcW w:w="57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8/8/2024</w:t>
            </w:r>
          </w:p>
        </w:tc>
        <w:tc>
          <w:tcPr>
            <w:tcW w:w="60" w:type="dxa"/>
            <w:tcBorders/>
            <w:vAlign w:val="center"/>
          </w:tcPr>
          <w:p>
            <w:pPr>
              <w:pStyle w:val="TableContents"/>
              <w:bidi w:val="0"/>
              <w:spacing w:before="0" w:after="283"/>
              <w:jc w:val="left"/>
            </w:pPr>
            <w:r>
              <w:t> </w:t>
            </w:r>
          </w:p>
        </w:tc>
        <w:tc>
          <w:tcPr>
            <w:tcW w:w="77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3.01</w:t>
            </w:r>
          </w:p>
        </w:tc>
        <w:tc>
          <w:tcPr>
            <w:tcW w:w="60" w:type="dxa"/>
            <w:tcBorders/>
            <w:vAlign w:val="center"/>
          </w:tcPr>
          <w:p>
            <w:pPr>
              <w:pStyle w:val="TableContents"/>
              <w:bidi w:val="0"/>
              <w:spacing w:before="0" w:after="283"/>
              <w:jc w:val="left"/>
            </w:pPr>
            <w:r>
              <w:t> </w:t>
            </w:r>
          </w:p>
        </w:tc>
        <w:tc>
          <w:tcPr>
            <w:tcW w:w="59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000-31311</w:t>
            </w:r>
          </w:p>
        </w:tc>
        <w:tc>
          <w:tcPr>
            <w:tcW w:w="60" w:type="dxa"/>
            <w:tcBorders/>
            <w:vAlign w:val="center"/>
          </w:tcPr>
          <w:p>
            <w:pPr>
              <w:pStyle w:val="TableContents"/>
              <w:bidi w:val="0"/>
              <w:spacing w:before="0" w:after="283"/>
              <w:jc w:val="left"/>
            </w:pPr>
            <w:r>
              <w:t> </w:t>
            </w:r>
          </w:p>
        </w:tc>
        <w:tc>
          <w:tcPr>
            <w:tcW w:w="897" w:type="dxa"/>
            <w:tcBorders/>
            <w:vAlign w:val="center"/>
          </w:tcPr>
          <w:p>
            <w:pPr>
              <w:pStyle w:val="TableContents"/>
              <w:bidi w:val="0"/>
              <w:spacing w:before="0" w:after="283"/>
              <w:jc w:val="left"/>
            </w:pPr>
            <w:r>
              <w:t> </w:t>
            </w:r>
          </w:p>
        </w:tc>
      </w:tr>
      <w:t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3.02</w:t>
            </w:r>
          </w:p>
        </w:tc>
        <w:tc>
          <w:tcPr>
            <w:tcW w:w="60" w:type="dxa"/>
            <w:tcBorders/>
            <w:vAlign w:val="center"/>
          </w:tcPr>
          <w:p>
            <w:pPr>
              <w:pStyle w:val="TableContents"/>
              <w:bidi w:val="0"/>
              <w:spacing w:before="0" w:after="283"/>
              <w:jc w:val="left"/>
            </w:pPr>
            <w:r>
              <w:t> </w:t>
            </w:r>
          </w:p>
        </w:tc>
        <w:tc>
          <w:tcPr>
            <w:tcW w:w="5778" w:type="dxa"/>
            <w:tcBorders/>
            <w:vAlign w:val="center"/>
          </w:tcPr>
          <w:p>
            <w:pPr>
              <w:pStyle w:val="TableContents"/>
              <w:bidi w:val="0"/>
              <w:spacing w:before="0" w:after="0"/>
              <w:ind w:left="0" w:right="0" w:hanging="0"/>
              <w:jc w:val="left"/>
            </w:pPr>
            <w:hyperlink r:id="rId3">
              <w:r>
                <w:rPr>
                  <w:rStyle w:val="InternetLink"/>
                  <w:rFonts w:ascii="Times New Roman;Times;serif" w:hAnsi="Times New Roman;Times;serif"/>
                  <w:caps w:val="false"/>
                  <w:smallCaps w:val="false"/>
                  <w:sz w:val="20"/>
                </w:rPr>
                <w:t>Amended and Restated Bylaws of PDF Solutions, Inc.</w:t>
              </w:r>
            </w:hyperlink>
          </w:p>
        </w:tc>
        <w:tc>
          <w:tcPr>
            <w:tcW w:w="60" w:type="dxa"/>
            <w:tcBorders/>
            <w:vAlign w:val="center"/>
          </w:tcPr>
          <w:p>
            <w:pPr>
              <w:pStyle w:val="TableContents"/>
              <w:bidi w:val="0"/>
              <w:spacing w:before="0" w:after="283"/>
              <w:jc w:val="left"/>
            </w:pPr>
            <w:r>
              <w:t> </w:t>
            </w:r>
          </w:p>
        </w:tc>
        <w:tc>
          <w:tcPr>
            <w:tcW w:w="5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8-K</w:t>
            </w:r>
          </w:p>
        </w:tc>
        <w:tc>
          <w:tcPr>
            <w:tcW w:w="60" w:type="dxa"/>
            <w:tcBorders/>
            <w:vAlign w:val="center"/>
          </w:tcPr>
          <w:p>
            <w:pPr>
              <w:pStyle w:val="TableContents"/>
              <w:bidi w:val="0"/>
              <w:spacing w:before="0" w:after="283"/>
              <w:jc w:val="left"/>
            </w:pPr>
            <w:r>
              <w:t> </w:t>
            </w:r>
          </w:p>
        </w:tc>
        <w:tc>
          <w:tcPr>
            <w:tcW w:w="57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5/1/2019</w:t>
            </w:r>
          </w:p>
        </w:tc>
        <w:tc>
          <w:tcPr>
            <w:tcW w:w="60" w:type="dxa"/>
            <w:tcBorders/>
            <w:vAlign w:val="center"/>
          </w:tcPr>
          <w:p>
            <w:pPr>
              <w:pStyle w:val="TableContents"/>
              <w:bidi w:val="0"/>
              <w:spacing w:before="0" w:after="283"/>
              <w:jc w:val="left"/>
            </w:pPr>
            <w:r>
              <w:t> </w:t>
            </w:r>
          </w:p>
        </w:tc>
        <w:tc>
          <w:tcPr>
            <w:tcW w:w="77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vAlign w:val="center"/>
          </w:tcPr>
          <w:p>
            <w:pPr>
              <w:pStyle w:val="TableContents"/>
              <w:bidi w:val="0"/>
              <w:spacing w:before="0" w:after="283"/>
              <w:jc w:val="left"/>
            </w:pPr>
            <w:r>
              <w:t> </w:t>
            </w:r>
          </w:p>
        </w:tc>
        <w:tc>
          <w:tcPr>
            <w:tcW w:w="59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000-31311</w:t>
            </w:r>
          </w:p>
        </w:tc>
        <w:tc>
          <w:tcPr>
            <w:tcW w:w="60" w:type="dxa"/>
            <w:tcBorders/>
            <w:vAlign w:val="center"/>
          </w:tcPr>
          <w:p>
            <w:pPr>
              <w:pStyle w:val="TableContents"/>
              <w:bidi w:val="0"/>
              <w:spacing w:before="0" w:after="283"/>
              <w:jc w:val="left"/>
            </w:pPr>
            <w:r>
              <w:t> </w:t>
            </w:r>
          </w:p>
        </w:tc>
        <w:tc>
          <w:tcPr>
            <w:tcW w:w="897" w:type="dxa"/>
            <w:tcBorders/>
            <w:vAlign w:val="center"/>
          </w:tcPr>
          <w:p>
            <w:pPr>
              <w:pStyle w:val="TableContents"/>
              <w:bidi w:val="0"/>
              <w:spacing w:before="0" w:after="283"/>
              <w:jc w:val="left"/>
            </w:pPr>
            <w:r>
              <w:t> </w:t>
            </w:r>
          </w:p>
        </w:tc>
      </w:tr>
      <w:t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10.01</w:t>
            </w:r>
          </w:p>
        </w:tc>
        <w:tc>
          <w:tcPr>
            <w:tcW w:w="60" w:type="dxa"/>
            <w:tcBorders/>
            <w:vAlign w:val="center"/>
          </w:tcPr>
          <w:p>
            <w:pPr>
              <w:pStyle w:val="TableContents"/>
              <w:bidi w:val="0"/>
              <w:spacing w:before="0" w:after="283"/>
              <w:jc w:val="left"/>
            </w:pPr>
            <w:r>
              <w:t> </w:t>
            </w:r>
          </w:p>
        </w:tc>
        <w:tc>
          <w:tcPr>
            <w:tcW w:w="5778" w:type="dxa"/>
            <w:tcBorders/>
            <w:vAlign w:val="center"/>
          </w:tcPr>
          <w:p>
            <w:pPr>
              <w:pStyle w:val="TableContents"/>
              <w:bidi w:val="0"/>
              <w:spacing w:before="0" w:after="283"/>
              <w:jc w:val="left"/>
            </w:pPr>
            <w:hyperlink w:anchor="ex_1002249.htm">
              <w:r>
                <w:rPr>
                  <w:rStyle w:val="InternetLink"/>
                  <w:rFonts w:ascii="Times New Roman;Times;serif" w:hAnsi="Times New Roman;Times;serif"/>
                  <w:sz w:val="20"/>
                </w:rPr>
                <w:t>Performance Stock Unit Agreement under PDF Solutions, Inc.’s 2011 Stock Incentive Plan†</w:t>
              </w:r>
            </w:hyperlink>
          </w:p>
        </w:tc>
        <w:tc>
          <w:tcPr>
            <w:tcW w:w="60" w:type="dxa"/>
            <w:tcBorders/>
            <w:vAlign w:val="center"/>
          </w:tcPr>
          <w:p>
            <w:pPr>
              <w:pStyle w:val="TableContents"/>
              <w:bidi w:val="0"/>
              <w:spacing w:before="0" w:after="283"/>
              <w:jc w:val="left"/>
            </w:pPr>
            <w:r>
              <w:t> </w:t>
            </w:r>
          </w:p>
        </w:tc>
        <w:tc>
          <w:tcPr>
            <w:tcW w:w="50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72"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77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98"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9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w:t>
            </w:r>
          </w:p>
        </w:tc>
      </w:tr>
      <w:t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31.01</w:t>
            </w:r>
          </w:p>
        </w:tc>
        <w:tc>
          <w:tcPr>
            <w:tcW w:w="60" w:type="dxa"/>
            <w:tcBorders/>
            <w:vAlign w:val="center"/>
          </w:tcPr>
          <w:p>
            <w:pPr>
              <w:pStyle w:val="TableContents"/>
              <w:bidi w:val="0"/>
              <w:spacing w:before="0" w:after="283"/>
              <w:jc w:val="left"/>
            </w:pPr>
            <w:r>
              <w:t> </w:t>
            </w:r>
          </w:p>
        </w:tc>
        <w:tc>
          <w:tcPr>
            <w:tcW w:w="5778" w:type="dxa"/>
            <w:tcBorders/>
            <w:vAlign w:val="center"/>
          </w:tcPr>
          <w:p>
            <w:pPr>
              <w:pStyle w:val="TableContents"/>
              <w:bidi w:val="0"/>
              <w:spacing w:before="0" w:after="0"/>
              <w:ind w:left="0" w:right="0" w:hanging="0"/>
              <w:jc w:val="left"/>
            </w:pPr>
            <w:hyperlink w:anchor="ex_1002250.htm">
              <w:r>
                <w:rPr>
                  <w:rStyle w:val="InternetLink"/>
                  <w:rFonts w:ascii="Times New Roman;Times;serif" w:hAnsi="Times New Roman;Times;serif"/>
                  <w:caps w:val="false"/>
                  <w:smallCaps w:val="false"/>
                  <w:sz w:val="20"/>
                </w:rPr>
                <w:t>Certification of the principal executive officer pursuant to Exchange Act Rules 13a</w:t>
                <w:noBreakHyphen/>
                <w:t>14(a) and 15d</w:t>
                <w:noBreakHyphen/>
                <w:t>14(a), as adopted pursuant to Section 302 of the Sarbanes-Oxley Act of 2002.</w:t>
              </w:r>
            </w:hyperlink>
          </w:p>
        </w:tc>
        <w:tc>
          <w:tcPr>
            <w:tcW w:w="60" w:type="dxa"/>
            <w:tcBorders/>
            <w:vAlign w:val="center"/>
          </w:tcPr>
          <w:p>
            <w:pPr>
              <w:pStyle w:val="TableContents"/>
              <w:bidi w:val="0"/>
              <w:spacing w:before="0" w:after="283"/>
              <w:jc w:val="left"/>
            </w:pPr>
            <w:r>
              <w:t> </w:t>
            </w:r>
          </w:p>
        </w:tc>
        <w:tc>
          <w:tcPr>
            <w:tcW w:w="50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72"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77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98"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9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31.02</w:t>
            </w:r>
          </w:p>
        </w:tc>
        <w:tc>
          <w:tcPr>
            <w:tcW w:w="60" w:type="dxa"/>
            <w:tcBorders/>
            <w:vAlign w:val="center"/>
          </w:tcPr>
          <w:p>
            <w:pPr>
              <w:pStyle w:val="TableContents"/>
              <w:bidi w:val="0"/>
              <w:spacing w:before="0" w:after="283"/>
              <w:jc w:val="left"/>
            </w:pPr>
            <w:r>
              <w:t> </w:t>
            </w:r>
          </w:p>
        </w:tc>
        <w:tc>
          <w:tcPr>
            <w:tcW w:w="5778" w:type="dxa"/>
            <w:tcBorders/>
            <w:vAlign w:val="center"/>
          </w:tcPr>
          <w:p>
            <w:pPr>
              <w:pStyle w:val="TableContents"/>
              <w:bidi w:val="0"/>
              <w:spacing w:before="0" w:after="0"/>
              <w:ind w:left="0" w:right="0" w:hanging="0"/>
              <w:jc w:val="left"/>
            </w:pPr>
            <w:hyperlink w:anchor="ex_1002251.htm">
              <w:r>
                <w:rPr>
                  <w:rStyle w:val="InternetLink"/>
                  <w:rFonts w:ascii="Times New Roman;Times;serif" w:hAnsi="Times New Roman;Times;serif"/>
                  <w:caps w:val="false"/>
                  <w:smallCaps w:val="false"/>
                  <w:sz w:val="20"/>
                </w:rPr>
                <w:t>Certification of the principal financial and accounting officer pursuant to Exchange Act Rules 13a</w:t>
                <w:noBreakHyphen/>
                <w:t>14(a) and 15d</w:t>
                <w:noBreakHyphen/>
                <w:t>14(a), as adopted pursuant to Section 302 of the Sarbanes-Oxley Act of 2002.</w:t>
              </w:r>
            </w:hyperlink>
          </w:p>
        </w:tc>
        <w:tc>
          <w:tcPr>
            <w:tcW w:w="60" w:type="dxa"/>
            <w:tcBorders/>
            <w:vAlign w:val="center"/>
          </w:tcPr>
          <w:p>
            <w:pPr>
              <w:pStyle w:val="TableContents"/>
              <w:bidi w:val="0"/>
              <w:spacing w:before="0" w:after="283"/>
              <w:jc w:val="left"/>
            </w:pPr>
            <w:r>
              <w:t> </w:t>
            </w:r>
          </w:p>
        </w:tc>
        <w:tc>
          <w:tcPr>
            <w:tcW w:w="50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72"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77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98"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9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32.01</w:t>
            </w:r>
          </w:p>
        </w:tc>
        <w:tc>
          <w:tcPr>
            <w:tcW w:w="60" w:type="dxa"/>
            <w:tcBorders/>
            <w:vAlign w:val="center"/>
          </w:tcPr>
          <w:p>
            <w:pPr>
              <w:pStyle w:val="TableContents"/>
              <w:bidi w:val="0"/>
              <w:spacing w:before="0" w:after="283"/>
              <w:jc w:val="left"/>
            </w:pPr>
            <w:r>
              <w:t> </w:t>
            </w:r>
          </w:p>
        </w:tc>
        <w:tc>
          <w:tcPr>
            <w:tcW w:w="5778" w:type="dxa"/>
            <w:tcBorders/>
            <w:vAlign w:val="center"/>
          </w:tcPr>
          <w:p>
            <w:pPr>
              <w:pStyle w:val="TableContents"/>
              <w:bidi w:val="0"/>
              <w:spacing w:before="0" w:after="0"/>
              <w:ind w:left="0" w:right="0" w:hanging="0"/>
              <w:jc w:val="left"/>
            </w:pPr>
            <w:hyperlink w:anchor="ex_1002252.htm">
              <w:r>
                <w:rPr>
                  <w:rStyle w:val="InternetLink"/>
                  <w:rFonts w:ascii="Times New Roman;Times;serif" w:hAnsi="Times New Roman;Times;serif"/>
                  <w:caps w:val="false"/>
                  <w:smallCaps w:val="false"/>
                  <w:sz w:val="20"/>
                </w:rPr>
                <w:t>Certification pursuant to 18 U.S.C. Section 1350, as adopted pursuant to Section 906 of the Sarbanes-Oxley Act of 2002.*</w:t>
              </w:r>
            </w:hyperlink>
          </w:p>
        </w:tc>
        <w:tc>
          <w:tcPr>
            <w:tcW w:w="60" w:type="dxa"/>
            <w:tcBorders/>
            <w:vAlign w:val="center"/>
          </w:tcPr>
          <w:p>
            <w:pPr>
              <w:pStyle w:val="TableContents"/>
              <w:bidi w:val="0"/>
              <w:spacing w:before="0" w:after="283"/>
              <w:jc w:val="left"/>
            </w:pPr>
            <w:r>
              <w:t> </w:t>
            </w:r>
          </w:p>
        </w:tc>
        <w:tc>
          <w:tcPr>
            <w:tcW w:w="50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72"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77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98"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9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32.02</w:t>
            </w:r>
          </w:p>
        </w:tc>
        <w:tc>
          <w:tcPr>
            <w:tcW w:w="60" w:type="dxa"/>
            <w:tcBorders/>
            <w:vAlign w:val="center"/>
          </w:tcPr>
          <w:p>
            <w:pPr>
              <w:pStyle w:val="TableContents"/>
              <w:bidi w:val="0"/>
              <w:spacing w:before="0" w:after="283"/>
              <w:jc w:val="left"/>
            </w:pPr>
            <w:r>
              <w:t> </w:t>
            </w:r>
          </w:p>
        </w:tc>
        <w:tc>
          <w:tcPr>
            <w:tcW w:w="5778" w:type="dxa"/>
            <w:tcBorders/>
            <w:vAlign w:val="center"/>
          </w:tcPr>
          <w:p>
            <w:pPr>
              <w:pStyle w:val="TableContents"/>
              <w:bidi w:val="0"/>
              <w:spacing w:before="0" w:after="0"/>
              <w:ind w:left="0" w:right="0" w:hanging="0"/>
              <w:jc w:val="left"/>
            </w:pPr>
            <w:hyperlink w:anchor="ex_1002253.htm">
              <w:r>
                <w:rPr>
                  <w:rStyle w:val="InternetLink"/>
                  <w:rFonts w:ascii="Times New Roman;Times;serif" w:hAnsi="Times New Roman;Times;serif"/>
                  <w:caps w:val="false"/>
                  <w:smallCaps w:val="false"/>
                  <w:sz w:val="20"/>
                </w:rPr>
                <w:t>Certification pursuant to 18 U.S.C. Section 1350, as adopted pursuant to Section 906 of the Sarbanes-Oxley Act of 2002.*</w:t>
              </w:r>
            </w:hyperlink>
          </w:p>
        </w:tc>
        <w:tc>
          <w:tcPr>
            <w:tcW w:w="60" w:type="dxa"/>
            <w:tcBorders/>
            <w:vAlign w:val="center"/>
          </w:tcPr>
          <w:p>
            <w:pPr>
              <w:pStyle w:val="TableContents"/>
              <w:bidi w:val="0"/>
              <w:spacing w:before="0" w:after="283"/>
              <w:jc w:val="left"/>
            </w:pPr>
            <w:r>
              <w:t> </w:t>
            </w:r>
          </w:p>
        </w:tc>
        <w:tc>
          <w:tcPr>
            <w:tcW w:w="50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72"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77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98"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9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60" w:type="dxa"/>
            <w:tcBorders/>
            <w:vAlign w:val="center"/>
          </w:tcPr>
          <w:p>
            <w:pPr>
              <w:pStyle w:val="TableContents"/>
              <w:bidi w:val="0"/>
              <w:spacing w:before="0" w:after="283"/>
              <w:jc w:val="left"/>
            </w:pPr>
            <w:r>
              <w:t> </w:t>
            </w:r>
          </w:p>
        </w:tc>
        <w:tc>
          <w:tcPr>
            <w:tcW w:w="57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financial statements from the Company’s Quarterly Report on Form 10</w:t>
              <w:noBreakHyphen/>
              <w:t>Q for the quarter ended September 30, 2026, formatted in Inline XBRL: (i) Condensed Consolidated Balance Sheets, (ii) Condensed Consolidated Statements of Operations and Comprehensive Income, (iii) Condensed Consolidated Statements of Stockholders’ Equity, (iv) Condensed Consolidated Statements of Cash Flows and (v) Notes to Condensed Consolidated Financial Statements, tagged as blocks of text and including detailed tags. **</w:t>
            </w:r>
          </w:p>
        </w:tc>
        <w:tc>
          <w:tcPr>
            <w:tcW w:w="60" w:type="dxa"/>
            <w:tcBorders/>
            <w:vAlign w:val="center"/>
          </w:tcPr>
          <w:p>
            <w:pPr>
              <w:pStyle w:val="TableContents"/>
              <w:bidi w:val="0"/>
              <w:spacing w:before="0" w:after="283"/>
              <w:jc w:val="left"/>
            </w:pPr>
            <w:r>
              <w:t> </w:t>
            </w:r>
          </w:p>
        </w:tc>
        <w:tc>
          <w:tcPr>
            <w:tcW w:w="50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72"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77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98"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97"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w:t>
            </w:r>
          </w:p>
        </w:tc>
      </w:tr>
      <w:t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vAlign w:val="center"/>
          </w:tcPr>
          <w:p>
            <w:pPr>
              <w:pStyle w:val="TableContents"/>
              <w:bidi w:val="0"/>
              <w:spacing w:before="0" w:after="283"/>
              <w:jc w:val="left"/>
            </w:pPr>
            <w:r>
              <w:t> </w:t>
            </w:r>
          </w:p>
        </w:tc>
        <w:tc>
          <w:tcPr>
            <w:tcW w:w="577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c>
          <w:tcPr>
            <w:tcW w:w="60" w:type="dxa"/>
            <w:tcBorders/>
            <w:vAlign w:val="center"/>
          </w:tcPr>
          <w:p>
            <w:pPr>
              <w:pStyle w:val="TableContents"/>
              <w:bidi w:val="0"/>
              <w:spacing w:before="0" w:after="283"/>
              <w:jc w:val="left"/>
            </w:pPr>
            <w:r>
              <w:t> </w:t>
            </w:r>
          </w:p>
        </w:tc>
        <w:tc>
          <w:tcPr>
            <w:tcW w:w="50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72"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77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598"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897"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pPr>
      <w:r/>
    </w:p>
    <w:p>
      <w:pPr>
        <w:pStyle w:val="TextBody"/>
        <w:bidi w:val="0"/>
        <w:spacing w:before="0" w:after="0"/>
        <w:ind w:left="360" w:right="0" w:hanging="360"/>
        <w:jc w:val="left"/>
        <w:rPr>
          <w:caps w:val="false"/>
          <w:smallCaps w:val="false"/>
        </w:rPr>
      </w:pPr>
      <w:r>
        <w:rPr>
          <w:caps w:val="false"/>
          <w:smallCaps w:val="false"/>
        </w:rPr>
        <w:t>†       </w:t>
      </w:r>
      <w:r>
        <w:rPr>
          <w:rFonts w:ascii="Times New Roman" w:hAnsi="Times New Roman"/>
          <w:caps w:val="false"/>
          <w:smallCaps w:val="false"/>
          <w:sz w:val="20"/>
        </w:rPr>
        <w:t>Indicates management contract or compensatory plan or arrangement.</w:t>
      </w:r>
    </w:p>
    <w:p>
      <w:pPr>
        <w:pStyle w:val="TextBody"/>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       Furnished, and not filed.</w:t>
      </w:r>
    </w:p>
    <w:p>
      <w:pPr>
        <w:pStyle w:val="TextBody"/>
        <w:bidi w:val="0"/>
        <w:spacing w:before="0" w:after="0"/>
        <w:ind w:left="360" w:right="0" w:hanging="360"/>
        <w:jc w:val="left"/>
        <w:rPr>
          <w:rFonts w:ascii="Times New Roman" w:hAnsi="Times New Roman"/>
          <w:caps w:val="false"/>
          <w:smallCaps w:val="false"/>
          <w:sz w:val="20"/>
        </w:rPr>
      </w:pPr>
      <w:r>
        <w:rPr>
          <w:rFonts w:ascii="Times New Roman" w:hAnsi="Times New Roman"/>
          <w:caps w:val="false"/>
          <w:smallCaps w:val="false"/>
          <w:sz w:val="20"/>
        </w:rPr>
        <w:t>**     Submitted electronically herewith.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r>
        <w:t xml:space="preserve">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b/>
          <w:caps w:val="false"/>
          <w:smallCaps w:val="false"/>
          <w:sz w:val="20"/>
        </w:rPr>
      </w:pPr>
      <w:bookmarkStart w:id="21" w:name="sigs"/>
      <w:bookmarkEnd w:id="21"/>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955" w:type="dxa"/>
        <w:jc w:val="left"/>
        <w:tblInd w:w="0" w:type="dxa"/>
        <w:tblLayout w:type="fixed"/>
        <w:tblCellMar>
          <w:top w:w="0" w:type="dxa"/>
          <w:left w:w="0" w:type="dxa"/>
          <w:bottom w:w="0" w:type="dxa"/>
          <w:right w:w="0" w:type="dxa"/>
        </w:tblCellMar>
      </w:tblPr>
      <w:tblGrid>
        <w:gridCol w:w="2000"/>
        <w:gridCol w:w="320"/>
        <w:gridCol w:w="3635"/>
      </w:tblGrid>
      <w:tr>
        <w:tc>
          <w:tcPr>
            <w:tcW w:w="2000" w:type="dxa"/>
            <w:tcBorders/>
            <w:vAlign w:val="center"/>
          </w:tcPr>
          <w:p>
            <w:pPr>
              <w:pStyle w:val="TableContents"/>
              <w:bidi w:val="0"/>
              <w:spacing w:before="0" w:after="283"/>
              <w:jc w:val="left"/>
            </w:pPr>
            <w:r>
              <w:t> </w:t>
            </w:r>
          </w:p>
        </w:tc>
        <w:tc>
          <w:tcPr>
            <w:tcW w:w="395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PDF SOLUTIONS, INC.</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3635"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3635"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5,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John K. Kibarian</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K. Kibarian</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3635"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3635"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5,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Adnan Raza</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Adnan Raza</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Vice President, Finance and Chief</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Officer</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44 </w:t>
      </w:r>
    </w:p>
    <w:p>
      <w:pPr>
        <w:pStyle w:val="TextBody"/>
        <w:bidi w:val="0"/>
        <w:spacing w:before="0" w:after="0"/>
        <w:ind w:left="0" w:right="0" w:hanging="0"/>
        <w:jc w:val="right"/>
        <w:rPr>
          <w:rFonts w:ascii="Times New Roman;Times;serif" w:hAnsi="Times New Roman;Times;serif"/>
          <w:b/>
          <w:sz w:val="20"/>
        </w:rPr>
      </w:pPr>
      <w:bookmarkStart w:id="22" w:name="ex_1002249.htm"/>
      <w:bookmarkStart w:id="23" w:name="ksex_1002249"/>
      <w:bookmarkEnd w:id="22"/>
      <w:bookmarkEnd w:id="23"/>
      <w:r>
        <w:rPr>
          <w:rFonts w:ascii="Times New Roman;Times;serif" w:hAnsi="Times New Roman;Times;serif"/>
          <w:b/>
          <w:sz w:val="20"/>
        </w:rPr>
        <w:t>Exhibit 10.01</w:t>
      </w:r>
      <w:r>
        <w:br w:type="page"/>
      </w:r>
    </w:p>
    <w:p>
      <w:pPr>
        <w:pStyle w:val="TextBody"/>
        <w:bidi w:val="0"/>
        <w:spacing w:before="0" w:after="0"/>
        <w:ind w:left="0" w:right="0" w:hanging="0"/>
        <w:jc w:val="right"/>
      </w:pPr>
      <w:r>
        <w:t> </w:t>
      </w:r>
    </w:p>
    <w:p>
      <w:pPr>
        <w:pStyle w:val="TextBody"/>
        <w:bidi w:val="0"/>
        <w:spacing w:before="0" w:after="0"/>
        <w:ind w:left="0" w:right="0" w:hanging="0"/>
        <w:jc w:val="left"/>
      </w:pPr>
      <w:r>
        <w:t> </w:t>
      </w:r>
      <w:r>
        <w:drawing>
          <wp:inline distT="0" distB="0" distL="0" distR="0">
            <wp:extent cx="28575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2857500" cy="400050"/>
                    </a:xfrm>
                    <a:prstGeom prst="rect">
                      <a:avLst/>
                    </a:prstGeom>
                  </pic:spPr>
                </pic:pic>
              </a:graphicData>
            </a:graphic>
          </wp:inline>
        </w:drawing>
      </w:r>
    </w:p>
    <w:p>
      <w:pPr>
        <w:pStyle w:val="TextBody"/>
        <w:bidi w:val="0"/>
        <w:spacing w:before="0" w:after="0"/>
        <w:ind w:left="0" w:right="0" w:hanging="0"/>
        <w:jc w:val="left"/>
      </w:pPr>
      <w:r>
        <w:t> </w:t>
      </w:r>
    </w:p>
    <w:p>
      <w:pPr>
        <w:pStyle w:val="TextBody"/>
        <w:bidi w:val="0"/>
        <w:spacing w:before="0" w:after="0"/>
        <w:ind w:left="0" w:right="0" w:hanging="0"/>
        <w:jc w:val="left"/>
        <w:rPr>
          <w:rFonts w:ascii="Times New Roman" w:hAnsi="Times New Roman"/>
          <w:b/>
          <w:caps w:val="false"/>
          <w:smallCaps w:val="false"/>
          <w:sz w:val="28"/>
        </w:rPr>
      </w:pPr>
      <w:r>
        <w:rPr>
          <w:rFonts w:ascii="Times New Roman" w:hAnsi="Times New Roman"/>
          <w:b/>
          <w:caps w:val="false"/>
          <w:smallCaps w:val="false"/>
          <w:sz w:val="28"/>
        </w:rPr>
        <w:t xml:space="preserve">2011 </w:t>
      </w:r>
      <w:r>
        <w:rPr>
          <w:rFonts w:ascii="Times New Roman" w:hAnsi="Times New Roman"/>
          <w:b/>
          <w:caps/>
          <w:sz w:val="28"/>
        </w:rPr>
        <w:t>S</w:t>
      </w:r>
      <w:r>
        <w:rPr>
          <w:rFonts w:ascii="Times New Roman" w:hAnsi="Times New Roman"/>
          <w:b/>
          <w:caps w:val="false"/>
          <w:smallCaps w:val="false"/>
          <w:sz w:val="28"/>
        </w:rPr>
        <w:t xml:space="preserve">TOCK </w:t>
      </w:r>
      <w:r>
        <w:rPr>
          <w:rFonts w:ascii="Times New Roman" w:hAnsi="Times New Roman"/>
          <w:b/>
          <w:caps/>
          <w:sz w:val="28"/>
        </w:rPr>
        <w:t>I</w:t>
      </w:r>
      <w:r>
        <w:rPr>
          <w:rFonts w:ascii="Times New Roman" w:hAnsi="Times New Roman"/>
          <w:b/>
          <w:caps w:val="false"/>
          <w:smallCaps w:val="false"/>
          <w:sz w:val="28"/>
        </w:rPr>
        <w:t xml:space="preserve">NCENTIVE </w:t>
      </w:r>
      <w:r>
        <w:rPr>
          <w:rFonts w:ascii="Times New Roman" w:hAnsi="Times New Roman"/>
          <w:b/>
          <w:caps/>
          <w:sz w:val="28"/>
        </w:rPr>
        <w:t>P</w:t>
      </w:r>
      <w:r>
        <w:rPr>
          <w:rFonts w:ascii="Times New Roman" w:hAnsi="Times New Roman"/>
          <w:b/>
          <w:caps w:val="false"/>
          <w:smallCaps w:val="false"/>
          <w:sz w:val="28"/>
        </w:rPr>
        <w:t xml:space="preserve">LAN – </w:t>
      </w:r>
      <w:r>
        <w:rPr>
          <w:rFonts w:ascii="Times New Roman" w:hAnsi="Times New Roman"/>
          <w:b/>
          <w:caps/>
          <w:sz w:val="28"/>
        </w:rPr>
        <w:t>P</w:t>
      </w:r>
      <w:r>
        <w:rPr>
          <w:rFonts w:ascii="Times New Roman" w:hAnsi="Times New Roman"/>
          <w:b/>
          <w:caps w:val="false"/>
          <w:smallCaps w:val="false"/>
          <w:sz w:val="28"/>
        </w:rPr>
        <w:t>erformance </w:t>
      </w:r>
      <w:r>
        <w:rPr>
          <w:rFonts w:ascii="Times New Roman" w:hAnsi="Times New Roman"/>
          <w:b/>
          <w:caps/>
          <w:sz w:val="28"/>
        </w:rPr>
        <w:t>S</w:t>
      </w:r>
      <w:r>
        <w:rPr>
          <w:rFonts w:ascii="Times New Roman" w:hAnsi="Times New Roman"/>
          <w:b/>
          <w:caps w:val="false"/>
          <w:smallCaps w:val="false"/>
          <w:sz w:val="28"/>
        </w:rPr>
        <w:t xml:space="preserve">TOCK </w:t>
      </w:r>
      <w:r>
        <w:rPr>
          <w:rFonts w:ascii="Times New Roman" w:hAnsi="Times New Roman"/>
          <w:b/>
          <w:caps/>
          <w:sz w:val="28"/>
        </w:rPr>
        <w:t>U</w:t>
      </w:r>
      <w:r>
        <w:rPr>
          <w:rFonts w:ascii="Times New Roman" w:hAnsi="Times New Roman"/>
          <w:b/>
          <w:caps w:val="false"/>
          <w:smallCaps w:val="false"/>
          <w:sz w:val="28"/>
        </w:rPr>
        <w:t xml:space="preserve">NIT </w:t>
      </w:r>
      <w:r>
        <w:rPr>
          <w:rFonts w:ascii="Times New Roman" w:hAnsi="Times New Roman"/>
          <w:b/>
          <w:caps/>
          <w:sz w:val="28"/>
        </w:rPr>
        <w:t>A</w:t>
      </w:r>
      <w:r>
        <w:rPr>
          <w:rFonts w:ascii="Times New Roman" w:hAnsi="Times New Roman"/>
          <w:b/>
          <w:caps w:val="false"/>
          <w:smallCaps w:val="false"/>
          <w:sz w:val="28"/>
        </w:rPr>
        <w:t>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b/>
          <w:caps w:val="false"/>
          <w:smallCaps w:val="false"/>
          <w:sz w:val="20"/>
          <w:u w:val="single"/>
        </w:rPr>
        <w:t>Award of Stock Units</w:t>
      </w:r>
      <w:r>
        <w:rPr>
          <w:rFonts w:ascii="Times New Roman" w:hAnsi="Times New Roman"/>
          <w:caps w:val="false"/>
          <w:smallCaps w:val="false"/>
          <w:sz w:val="20"/>
        </w:rPr>
        <w:t xml:space="preserve">. PDF Solutions, Inc., a Delaware corporation (the “Company”), has authorized the grant to you of a performance stock unit award (the “Award”) according to the performance stock unit (“PSU”) program set forth in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attached hereto and covering the target number of shares of Shares (the “Stock Units”) set forth in the Notice of Performance Stock Unit Award or online Grant Summary (as applicable, the “Notice”) delivered to you along with this 2011 Stock Incentive Plan – Performance Stock Unit Agreement (the “PSU Agreement”), on the date set forth therein (the “Grant Effective Date”), subject to the terms, definitions and provisions of the 2011 Stock Incentive Plan, as amended and restated from time to time (the “Plan”), which is incorporated in this PSU Agreement by reference. Unless otherwise defined in this PSU Agreement or the Notice, the terms used in this PSU Agreement shall have the meanings defined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u w:val="single"/>
        </w:rPr>
        <w:t>Bookkeeping Entry</w:t>
      </w:r>
      <w:r>
        <w:rPr>
          <w:rFonts w:ascii="Times New Roman" w:hAnsi="Times New Roman"/>
          <w:caps w:val="false"/>
          <w:smallCaps w:val="false"/>
          <w:sz w:val="20"/>
        </w:rPr>
        <w:t>. Pursuant to the Plan, each Stock Unit is a bookkeeping entry representing the equivalent in value of one (1)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u w:val="single"/>
        </w:rPr>
        <w:t>Acceptance; Cancellation</w:t>
      </w:r>
      <w:r>
        <w:rPr>
          <w:rFonts w:ascii="Times New Roman" w:hAnsi="Times New Roman"/>
          <w:caps w:val="false"/>
          <w:smallCaps w:val="false"/>
          <w:sz w:val="20"/>
        </w:rPr>
        <w:t xml:space="preserve">. You acknowledge that by electronically accepting the Award (or instructing the Company in writing to record such acceptance with its designated third-party broker) you agree to be bound by all terms applicable to the Award, as set forth in this PSU Agreement and the Plan. </w:t>
      </w:r>
      <w:r>
        <w:rPr>
          <w:rFonts w:ascii="Times New Roman" w:hAnsi="Times New Roman"/>
          <w:b/>
          <w:caps w:val="false"/>
          <w:smallCaps w:val="false"/>
          <w:sz w:val="20"/>
        </w:rPr>
        <w:t xml:space="preserve">You must expressly accept the terms and conditions of your Stock Units as set forth in the Notice, this PSU Agreement and the Plan by electronically accepting this PSU Agreement within ninety (90) days after the Company first makes the Notice available to you. </w:t>
      </w:r>
      <w:r>
        <w:rPr>
          <w:rFonts w:ascii="Times New Roman" w:hAnsi="Times New Roman"/>
          <w:caps w:val="false"/>
          <w:smallCaps w:val="false"/>
          <w:sz w:val="20"/>
        </w:rPr>
        <w:t>If you do not accept this Award in the manner instructed by the Company, this Award and all Stock Units represented hereby may be cancelled by the Company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b/>
          <w:caps w:val="false"/>
          <w:smallCaps w:val="false"/>
          <w:sz w:val="20"/>
          <w:u w:val="single"/>
        </w:rPr>
        <w:t>Vesting of Stock Units</w:t>
      </w:r>
      <w:r>
        <w:rPr>
          <w:rFonts w:ascii="Times New Roman" w:hAnsi="Times New Roman"/>
          <w:caps w:val="false"/>
          <w:smallCaps w:val="false"/>
          <w:sz w:val="20"/>
        </w:rPr>
        <w:t>. Subject to the terms and conditions of this PSU Agreement and the Plan, the Stock Units shall vest based on the Participant’s continued Service requirement and the achievement of the market-based performance conditions, as described in the Notice and Exhibit A. So long as your Service continues, the Stock Units shall vest according to the vesting schedule in the Notice and in accordance with the terms set forth in Exhibit A. If you take a leave of absence, the Company may, at its discretion, suspend vesting during the period of leave to the extent permitted under applicable law. Prior to the time that the Stock Units are settled upon vesting, you shall have no rights other than those of a general creditor of the Company. The Stock Units represent an unfunded and unsecured obligation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b/>
          <w:caps w:val="false"/>
          <w:smallCaps w:val="false"/>
          <w:sz w:val="20"/>
          <w:u w:val="single"/>
        </w:rPr>
        <w:t>Termination of Service</w:t>
      </w:r>
      <w:r>
        <w:rPr>
          <w:rFonts w:ascii="Times New Roman" w:hAnsi="Times New Roman"/>
          <w:b/>
          <w:caps w:val="false"/>
          <w:smallCaps w:val="false"/>
          <w:sz w:val="20"/>
        </w:rPr>
        <w:t xml:space="preserve">. </w:t>
      </w:r>
      <w:r>
        <w:rPr>
          <w:rFonts w:ascii="Times New Roman" w:hAnsi="Times New Roman"/>
          <w:caps w:val="false"/>
          <w:smallCaps w:val="false"/>
          <w:sz w:val="20"/>
        </w:rPr>
        <w:t>Except as otherwise provided in the Company’s severance plan, change-in-control plan, or an employment or severance agreement approved by the Committee, all unvested Stock Units shall be forfeited upon termination of Service. For purposes of the Stock Units, your Service will be considered terminated as of the date you are no longer actively providing services (regardless of the reason for or the circumstances of such termination) and your right to vest in the Stock Units will terminate effective as of such date and will not be extended by any notice period (e.g., active service would not include any contractual notice period or any period of “garden leave” or similar period mandated under employment laws in the jurisdiction where you are employed or the terms of your employment agreement, if any). The Committee shall have the exclusive discretion to determine when you are no longer actively providing services for purposes of the Stock Units.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b/>
          <w:caps w:val="false"/>
          <w:smallCaps w:val="false"/>
          <w:sz w:val="20"/>
          <w:u w:val="single"/>
        </w:rPr>
        <w:t>Settlement of Stock Units</w:t>
      </w:r>
      <w:r>
        <w:rPr>
          <w:rFonts w:ascii="Times New Roman" w:hAnsi="Times New Roman"/>
          <w:caps w:val="false"/>
          <w:smallCaps w:val="false"/>
          <w:sz w:val="20"/>
        </w:rPr>
        <w:t>. Upon vesting of Stock Units, Stock Units shall be automatically settled in Shares, provided that the Company shall have no obligation to issue Shares pursuant to this PSU Agreement unless and until you have satisfied any applicable tax and/or other obligations pursuant to Section 5 below and such issuance otherwise complies with all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b/>
          <w:caps w:val="false"/>
          <w:smallCaps w:val="false"/>
          <w:sz w:val="20"/>
          <w:u w:val="single"/>
        </w:rPr>
        <w:t>Responsibility for Taxes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You acknowledge that, regardless of any action the Company and/or your employer (the “</w:t>
      </w:r>
      <w:r>
        <w:rPr>
          <w:rFonts w:ascii="Times New Roman" w:hAnsi="Times New Roman"/>
          <w:caps w:val="false"/>
          <w:smallCaps w:val="false"/>
          <w:sz w:val="20"/>
          <w:u w:val="single"/>
        </w:rPr>
        <w:t>Employer</w:t>
      </w:r>
      <w:r>
        <w:rPr>
          <w:rFonts w:ascii="Times New Roman" w:hAnsi="Times New Roman"/>
          <w:caps w:val="false"/>
          <w:smallCaps w:val="false"/>
          <w:sz w:val="20"/>
        </w:rPr>
        <w:t>”), the ultimate liability for all income tax, social insurance contributions, payroll tax, fringe benefits tax, payment on account or any other tax-related items related to your participation in the Plan and legally applicable to you as a result of your participation in the Plan (“</w:t>
      </w:r>
      <w:r>
        <w:rPr>
          <w:rFonts w:ascii="Times New Roman" w:hAnsi="Times New Roman"/>
          <w:caps w:val="false"/>
          <w:smallCaps w:val="false"/>
          <w:sz w:val="20"/>
          <w:u w:val="single"/>
        </w:rPr>
        <w:t>Tax-Related Items</w:t>
      </w:r>
      <w:r>
        <w:rPr>
          <w:rFonts w:ascii="Times New Roman" w:hAnsi="Times New Roman"/>
          <w:caps w:val="false"/>
          <w:smallCaps w:val="false"/>
          <w:sz w:val="20"/>
        </w:rPr>
        <w:t>”) is and remains your responsibility and may exceed the amount (if any) withheld by the Company or the Employer. You further acknowledge that the Company and/or the Employer (i) make no representations or undertakings regarding the treatment of any Tax-Related Items in connection with any aspect of the Stock Units, including the grant, vesting or settlement of the Stock Units, or the subsequent sale of any Shares acquired at vesting or the receipt of any dividends with respect to such Shares; and (ii) do not commit to and are under no obligation to structure the terms or any aspect of the Stock Units to reduce or eliminate your liability for Tax-Related Items or achieve any particular tax result. Further, if you are subject to Tax-Related Items in more than one jurisdiction between the Grant Date and the date of any relevant taxable event, you acknowledge that the Company and/or the Employer (or former employer, as applicable) may be required to withhold or account for Tax-Related Items in more than one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In connection with any relevant tax, withholding or required deduction event, as applicable, you agree to make arrangements satisfactory to the Company for the satisfaction of any applicable tax, withholding, required deduction and payment on account obligations of the Company and/or the Employer that arise in connection with the Stock Units. In this regard, you authorize the Company and/or the Employer, or their respective agents, at their discretion, to satisfy any obligations related to Tax-Related Items by one or a combination of the following: (i) withholding from your wages or other cash compensation payable to you by the Company or the Employer; (ii) withholding from proceeds of the sale of Shares acquired upon settlement of the Stock Units either through a voluntary sale or through a mandatory sale arranged by the Company (on your behalf pursuant to this authorization without further consent); (iii) withholding of Shares that would otherwise be issued upon settlement of the Stock Units; or (iv) any other method permitted under the Plan and applicable law and, where required, approved by the Committee.  If the obligation for Tax-Related Items is satisfied by withholding of Shares, for tax purposes, you are deemed to have been issued the full number of Shares subject to the vested Stock Units, notwithstanding that a number of the Shares are held back solely for the purpose of paying the Tax-Related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The Company may withhold or account for Tax-Related Items by considering statutory or other withholding rates, including – to the extent permitted under the Plan – up to the maximum applicable rate in your jurisdiction(s).  In the event the application of the selected withholding rate results in over-withholding, you may receive a refund of any over-withheld amount in cash (with no entitlement to the equivalent in Shares) or, if not refunded, you may be able to seek a refund from the local tax authorities.  In the event the application of the selected withholding rate results in under-withholding, you may be required to pay any additional Tax-Related Items directly to the applicable tax authority or to the Company and/or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Finally, the Company may refuse to issue or deliver the Shares or the proceeds of the sale of Shares if you fail to comply with your obligations in connection with the Tax-Related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b/>
          <w:caps w:val="false"/>
          <w:smallCaps w:val="false"/>
          <w:sz w:val="20"/>
          <w:u w:val="single"/>
        </w:rPr>
        <w:t>Tax and Legal Advice</w:t>
      </w:r>
      <w:r>
        <w:rPr>
          <w:rFonts w:ascii="Times New Roman" w:hAnsi="Times New Roman"/>
          <w:caps w:val="false"/>
          <w:smallCaps w:val="false"/>
          <w:sz w:val="20"/>
        </w:rPr>
        <w:t>. You represent, warrant and acknowledge that neither the Company nor your Employer have made any warranties or representations to you with respect to any Tax-Related Items, legal or financial consequences of the transactions contemplated by this PSU Agreement, and you are in no manner relying on the Company, your Employer’s or the Company’s or the Employer’s representatives for an assessment of such consequences. YOU UNDERSTAND THAT THE LAWS GOVERNING THIS AWARD ARE SUBJECT TO CHANGE. YOU SHOULD CONSULT YOUR OWN PROFESSIONAL TAX, LEGAL AND FINANCIAL ADVISOR REGARDING ANY STOCK UNITS. YOU UNDERSTAND THAT THE COMPANY AND YOUR EMPLOYER ARE NOT PROVIDING ANY TAX, LEGAL, OR FINANCIAL ADVICE, NOR IS THE COMPANY OR YOUR EMPLOYER MAKING ANY RECOMMENDATION REGARDING YOUR ACCEPTANCE OF THIS AWARD. NOTHING STATED HEREIN IS INTENDED OR WRITTEN TO BE USED, AND CANNOT BE USED, FOR THE PURPOSE OF AVOIDING TAXPAYER OR OTHER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b/>
          <w:caps w:val="false"/>
          <w:smallCaps w:val="false"/>
          <w:sz w:val="20"/>
          <w:u w:val="single"/>
        </w:rPr>
        <w:t>Non-Transferability of Stock Units</w:t>
      </w:r>
      <w:r>
        <w:rPr>
          <w:rFonts w:ascii="Times New Roman" w:hAnsi="Times New Roman"/>
          <w:caps w:val="false"/>
          <w:smallCaps w:val="false"/>
          <w:sz w:val="20"/>
        </w:rPr>
        <w:t>. Stock Units shall not be anticipated, assigned, attached, garnished, optioned, transferred or made subject to any creditor’s process, whether voluntarily or involuntarily or by operation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b/>
          <w:caps w:val="false"/>
          <w:smallCaps w:val="false"/>
          <w:sz w:val="20"/>
          <w:u w:val="single"/>
        </w:rPr>
        <w:t>Restriction on Transfer</w:t>
      </w:r>
      <w:r>
        <w:rPr>
          <w:rFonts w:ascii="Times New Roman" w:hAnsi="Times New Roman"/>
          <w:caps w:val="false"/>
          <w:smallCaps w:val="false"/>
          <w:sz w:val="20"/>
        </w:rPr>
        <w:t>. Regardless of whether the transfer or issuance of the Shares to be issued pursuant to the Stock Units has been registered under the Securities Act or has been registered or qualified under the securities laws of any state or any jurisdiction, the Company may impose additional restrictions upon the sale, pledge, or other transfer of the Shares (including the placement of appropriate legends on stock certificates and the issuance of stop-transfer instructions to the Company’s transfer agent) if, in the judgment of the Company and the Company’s counsel, such restrictions are necessary in order to achieve compliance with the provisions of the Securities Act, the securities laws of any state, or any other law including all applicable foreign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9.   </w:t>
      </w:r>
      <w:r>
        <w:rPr>
          <w:rFonts w:ascii="Times New Roman" w:hAnsi="Times New Roman"/>
          <w:b/>
          <w:caps w:val="false"/>
          <w:smallCaps w:val="false"/>
          <w:sz w:val="20"/>
          <w:u w:val="single"/>
        </w:rPr>
        <w:t>Restrictive Legends and Stop-Transfer Instructions</w:t>
      </w:r>
      <w:r>
        <w:rPr>
          <w:rFonts w:ascii="Times New Roman" w:hAnsi="Times New Roman"/>
          <w:caps w:val="false"/>
          <w:smallCaps w:val="false"/>
          <w:sz w:val="20"/>
        </w:rPr>
        <w:t>. Stock certificates evidencing the Shares issued pursuant to the Stock Units may bear such restrictive legends and/or appropriate stop-transfer instructions may be issued to the Company’s transfer agent as the Company and the Company’s counsel deem necessary under applicable law or pursuant to this PSU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10.   </w:t>
      </w:r>
      <w:r>
        <w:rPr>
          <w:rFonts w:ascii="Times New Roman" w:hAnsi="Times New Roman"/>
          <w:b/>
          <w:caps w:val="false"/>
          <w:smallCaps w:val="false"/>
          <w:sz w:val="20"/>
          <w:u w:val="single"/>
        </w:rPr>
        <w:t>Representations, Warranties, Covenants, and Acknowledgments</w:t>
      </w:r>
      <w:r>
        <w:rPr>
          <w:rFonts w:ascii="Times New Roman" w:hAnsi="Times New Roman"/>
          <w:caps w:val="false"/>
          <w:smallCaps w:val="false"/>
          <w:sz w:val="20"/>
        </w:rPr>
        <w:t>. You hereby agree that in the event the Company and the Company’s counsel deem it necessary or advisable in the exercise of their discretion, the transfer or issuance of the Shares issued pursuant to the Stock Units may be conditioned upon you making certain representations, warranties, and acknowledgments relating to compliance with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b/>
          <w:caps w:val="false"/>
          <w:smallCaps w:val="false"/>
          <w:sz w:val="20"/>
          <w:u w:val="single"/>
        </w:rPr>
        <w:t>Voting and Other Rights</w:t>
      </w:r>
      <w:r>
        <w:rPr>
          <w:rFonts w:ascii="Times New Roman" w:hAnsi="Times New Roman"/>
          <w:caps w:val="false"/>
          <w:smallCaps w:val="false"/>
          <w:sz w:val="20"/>
        </w:rPr>
        <w:t>. Subject to the terms of this PSU Agreement, you shall not have any voting rights or any other rights and privileges of a stockholder of the Company unless and until the Stock Units are settled upon vesting. In addition, you shall not have any rights to dividend equivalent payments with respect to unvested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b/>
          <w:caps w:val="false"/>
          <w:smallCaps w:val="false"/>
          <w:sz w:val="20"/>
          <w:u w:val="single"/>
        </w:rPr>
        <w:t>Nature of Grant</w:t>
      </w:r>
      <w:r>
        <w:rPr>
          <w:rFonts w:ascii="Times New Roman" w:hAnsi="Times New Roman"/>
          <w:b/>
          <w:caps w:val="false"/>
          <w:smallCaps w:val="false"/>
          <w:sz w:val="20"/>
        </w:rPr>
        <w:t>.</w:t>
      </w:r>
      <w:r>
        <w:rPr>
          <w:rFonts w:ascii="Times New Roman" w:hAnsi="Times New Roman"/>
          <w:caps w:val="false"/>
          <w:smallCaps w:val="false"/>
          <w:sz w:val="20"/>
        </w:rPr>
        <w:t>  By accepting the Award, you acknowledge, understand and agree that:</w:t>
      </w:r>
    </w:p>
    <w:p>
      <w:pPr>
        <w:pStyle w:val="TextBody"/>
        <w:bidi w:val="0"/>
        <w:spacing w:before="0" w:after="0"/>
        <w:ind w:left="12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the Plan is established voluntarily by the Company, it is discretionary in nature and it may be modified, amended, suspended or terminated by the Company at any time, to the extent permitted by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the grant of the Stock Units is exceptional, voluntary and occasional and does not create any contractual or other right to receive future grants of stock units, or benefits in lieu of stock units, even if stock units have been granted in the past;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you are voluntarily participating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all decisions with respect to future stock units or other grants, if any, will be at the sole discretion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(e)    the grant of the Stock Unit and your participation in the Plan will not create a right to continue to serve the Company or the Employer in the capacity in effect at the time the Stock Units were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(f)    the grant of the Stock Units and your participation in the Plan will not be interpreted as forming or amending an employment or service contract with the Company, the Employer or any Parent, Subsidiary or Affiliate, and will not interfere with the right (if any) of the Company or the Employer, as applicable, to terminate your Service;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(g)    the Stock Units and the Shares subject to the Stock Units, and the income from and value of same, are not intended to replace any pension rights 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(h)    the Stock Units and the Shares subject to the Stock Units, and the income from and value of same, are not part of normal or expected compensation for purposes of, including but not limited to, calculating any severance, resignation, termination, redundancy, dismissal, end-of-service payments, bonuses, long-service awards, leave-related payments, holiday pay, pension or retirement or welfare benefits or similar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(i)    unless otherwise agreed with the Company in writing, the Stock Units and the Shares subject to the Stock Units, and the income from and value of same, are not granted as consideration for, or in connection with, the service you may provide as a director of a Parent, Subsidiary or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(j)    the future value of the underlying Shares is unknown, indeterminable and cannot be predicted with certainty;</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(k)   no claim or entitlement to compensation or damages shall arise from forfeiture of the Stock Units resulting from the termination of your Service (regardless of the reason for the termination and whether or not the termination is later found to be invalid or in breach of employment laws in the jurisdiction where you provide services or the terms of your employment or service agreement, if any) or from the application of the Company’s Compensation Recovery Policy or any other clawback or recoupment policy adopted by the Company or imposed by applicable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(l)    neither the Company nor the Employer will be liable for any foreign exchange rate fluctuation between your local currency and the U.S. dollar that may affect the value of the Stock Units or of any amounts due to you pursuant to the settlement of the Stock Units or the subsequent sale of any Shares acquired upon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b/>
          <w:i/>
          <w:caps w:val="false"/>
          <w:smallCaps w:val="false"/>
          <w:sz w:val="20"/>
          <w:u w:val="single"/>
        </w:rPr>
        <w:t>Data Privacy</w:t>
      </w:r>
      <w:r>
        <w:rPr>
          <w:rFonts w:ascii="Times New Roman" w:hAnsi="Times New Roman"/>
          <w:b/>
          <w:i/>
          <w:caps w:val="false"/>
          <w:smallCaps w:val="false"/>
          <w:sz w:val="20"/>
        </w:rPr>
        <w:t>.</w:t>
      </w:r>
      <w:r>
        <w:rPr>
          <w:rFonts w:ascii="Times New Roman" w:hAnsi="Times New Roman"/>
          <w:caps w:val="false"/>
          <w:smallCaps w:val="false"/>
          <w:sz w:val="20"/>
        </w:rPr>
        <w:t>  You understand that if you would like to participate in the Plan, you should review the following information about the Company’s data processing practices and declare your consent.</w:t>
      </w:r>
    </w:p>
    <w:p>
      <w:pPr>
        <w:pStyle w:val="TextBody"/>
        <w:bidi w:val="0"/>
        <w:spacing w:before="0" w:after="0"/>
        <w:ind w:left="120" w:right="0" w:firstLine="72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The Company, with its registered address at 2858 De La Cruz Boulevard, Santa Clara, California 95050, U.S.A., is the controller responsible for the processing of personal data in connection with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142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i/>
          <w:caps w:val="false"/>
          <w:smallCaps w:val="false"/>
          <w:sz w:val="20"/>
          <w:u w:val="single"/>
        </w:rPr>
        <w:t>Data Collection and Usage</w:t>
      </w:r>
      <w:r>
        <w:rPr>
          <w:rFonts w:ascii="Times New Roman" w:hAnsi="Times New Roman"/>
          <w:b/>
          <w:i/>
          <w:caps w:val="false"/>
          <w:smallCaps w:val="false"/>
          <w:sz w:val="20"/>
        </w:rPr>
        <w:t>.</w:t>
      </w:r>
      <w:r>
        <w:rPr>
          <w:rFonts w:ascii="Times New Roman" w:hAnsi="Times New Roman"/>
          <w:caps w:val="false"/>
          <w:smallCaps w:val="false"/>
          <w:sz w:val="20"/>
        </w:rPr>
        <w:t>  The Company collects, processes and uses your personal data, including name, home address, email address and telephone number, date of birth, social insurance, passport or other identification number, salary, citizenship, job title, any shares or directorships held in the Company, and details of all Stock Units granted, canceled, exercised, or outstanding in my favor, which the Company receives from yourself or the Employer.  You understand that the Company will collect your personal data for purposes of allocating Shares under the Plan and implementing, administering and managing the Plan.  The Company’s legal basis, where required, for the processing of your personal data is your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142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i/>
          <w:caps w:val="false"/>
          <w:smallCaps w:val="false"/>
          <w:sz w:val="20"/>
          <w:u w:val="single"/>
        </w:rPr>
        <w:t>Stock Plan Administration Service Providers</w:t>
      </w:r>
      <w:r>
        <w:rPr>
          <w:rFonts w:ascii="Times New Roman" w:hAnsi="Times New Roman"/>
          <w:b/>
          <w:i/>
          <w:caps w:val="false"/>
          <w:smallCaps w:val="false"/>
          <w:sz w:val="20"/>
        </w:rPr>
        <w:t>.</w:t>
      </w:r>
      <w:r>
        <w:rPr>
          <w:rFonts w:ascii="Times New Roman" w:hAnsi="Times New Roman"/>
          <w:caps w:val="false"/>
          <w:smallCaps w:val="false"/>
          <w:sz w:val="20"/>
        </w:rPr>
        <w:t> The Company transfers your personal data to Morgan Stanley Smith Barney, LLC and its affiliated company, E*Trade Financial Corporate Services, Inc. (collectively “E*Trade”), an independent service provider, which assists the Company with the implementation, administration and management of the Plan.  In the future, the Company may select a different service provider and share your personal data with another company that serves in a similar manner.  The Company’s service provider will open an account for you to receive and trade Shares.  You may be asked to agree on separate terms and data processing practices with the service provider, which is a condition of your ability to participate in the Plan.</w:t>
      </w:r>
    </w:p>
    <w:p>
      <w:pPr>
        <w:pStyle w:val="TextBody"/>
        <w:bidi w:val="0"/>
        <w:spacing w:before="0" w:after="0"/>
        <w:ind w:left="120" w:right="0" w:firstLine="1420"/>
        <w:jc w:val="left"/>
        <w:rPr>
          <w:caps w:val="false"/>
          <w:smallCaps w:val="false"/>
        </w:rPr>
      </w:pPr>
      <w:r>
        <w:rPr>
          <w:caps w:val="false"/>
          <w:smallCaps w:val="false"/>
        </w:rPr>
        <w:t> </w:t>
      </w:r>
    </w:p>
    <w:p>
      <w:pPr>
        <w:pStyle w:val="TextBody"/>
        <w:bidi w:val="0"/>
        <w:spacing w:before="0" w:after="0"/>
        <w:ind w:left="120" w:right="0" w:firstLine="142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i/>
          <w:caps w:val="false"/>
          <w:smallCaps w:val="false"/>
          <w:sz w:val="20"/>
          <w:u w:val="single"/>
        </w:rPr>
        <w:t>International Data Transfers</w:t>
      </w:r>
      <w:r>
        <w:rPr>
          <w:rFonts w:ascii="Times New Roman" w:hAnsi="Times New Roman"/>
          <w:b/>
          <w:i/>
          <w:caps w:val="false"/>
          <w:smallCaps w:val="false"/>
          <w:sz w:val="20"/>
        </w:rPr>
        <w:t>.</w:t>
      </w:r>
      <w:r>
        <w:rPr>
          <w:rFonts w:ascii="Times New Roman" w:hAnsi="Times New Roman"/>
          <w:caps w:val="false"/>
          <w:smallCaps w:val="false"/>
          <w:sz w:val="20"/>
        </w:rPr>
        <w:t> The Company and its service providers are based in the United States.  You acknowledge that if you work or reside outside the United States, your country may have enacted data privacy laws that are different from laws of the United States.  You understand and acknowledge that this might result in certain risks to the protection of your personal data due to the lack of legal principles governing the processing of the personal data, oversight by a supervisory authority or enforceable data subject rights in the United States. The transfer of your personal data from your country to the Company in the United States, as well as the onward transfer of your personal data from the Company to E*Trade, is based on your consent.</w:t>
      </w:r>
    </w:p>
    <w:p>
      <w:pPr>
        <w:pStyle w:val="TextBody"/>
        <w:bidi w:val="0"/>
        <w:spacing w:before="0" w:after="0"/>
        <w:ind w:left="120" w:right="0" w:firstLine="1420"/>
        <w:jc w:val="left"/>
        <w:rPr>
          <w:caps w:val="false"/>
          <w:smallCaps w:val="false"/>
        </w:rPr>
      </w:pPr>
      <w:r>
        <w:rPr>
          <w:caps w:val="false"/>
          <w:smallCaps w:val="false"/>
        </w:rPr>
        <w:t> </w:t>
      </w:r>
    </w:p>
    <w:p>
      <w:pPr>
        <w:pStyle w:val="TextBody"/>
        <w:bidi w:val="0"/>
        <w:spacing w:before="0" w:after="0"/>
        <w:ind w:left="120" w:right="0" w:firstLine="142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i/>
          <w:caps w:val="false"/>
          <w:smallCaps w:val="false"/>
          <w:sz w:val="20"/>
          <w:u w:val="single"/>
        </w:rPr>
        <w:t>Data Retention</w:t>
      </w:r>
      <w:r>
        <w:rPr>
          <w:rFonts w:ascii="Times New Roman" w:hAnsi="Times New Roman"/>
          <w:b/>
          <w:i/>
          <w:caps w:val="false"/>
          <w:smallCaps w:val="false"/>
          <w:sz w:val="20"/>
        </w:rPr>
        <w:t>.</w:t>
      </w:r>
      <w:r>
        <w:rPr>
          <w:rFonts w:ascii="Times New Roman" w:hAnsi="Times New Roman"/>
          <w:caps w:val="false"/>
          <w:smallCaps w:val="false"/>
          <w:sz w:val="20"/>
        </w:rPr>
        <w:t> The Company will use your personal data only as long as is necessary to implement, administer and manage your participation in the Plan or as required to comply with legal or regulatory obligations, including under tax and securities laws.  When the Company no longer needs your personal data, the Company will remove it from its systems. The Company may keep personal data longer to satisfy legal or regulatory obligations, and the Company’s legal basis would be compliance with the relevant laws or regulations.</w:t>
      </w:r>
    </w:p>
    <w:p>
      <w:pPr>
        <w:pStyle w:val="TextBody"/>
        <w:bidi w:val="0"/>
        <w:spacing w:before="0" w:after="0"/>
        <w:ind w:left="120" w:right="0" w:firstLine="1420"/>
        <w:jc w:val="left"/>
        <w:rPr>
          <w:caps w:val="false"/>
          <w:smallCaps w:val="false"/>
        </w:rPr>
      </w:pPr>
      <w:r>
        <w:rPr>
          <w:caps w:val="false"/>
          <w:smallCaps w:val="false"/>
        </w:rPr>
        <w:t> </w:t>
      </w:r>
    </w:p>
    <w:p>
      <w:pPr>
        <w:pStyle w:val="TextBody"/>
        <w:bidi w:val="0"/>
        <w:spacing w:before="0" w:after="0"/>
        <w:ind w:left="120" w:right="0" w:firstLine="142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i/>
          <w:caps w:val="false"/>
          <w:smallCaps w:val="false"/>
          <w:sz w:val="20"/>
          <w:u w:val="single"/>
        </w:rPr>
        <w:t>Voluntariness and Consequences of Consent Denial or Withdrawal</w:t>
      </w:r>
      <w:r>
        <w:rPr>
          <w:rFonts w:ascii="Times New Roman" w:hAnsi="Times New Roman"/>
          <w:b/>
          <w:i/>
          <w:caps w:val="false"/>
          <w:smallCaps w:val="false"/>
          <w:sz w:val="20"/>
        </w:rPr>
        <w:t>.</w:t>
      </w:r>
      <w:r>
        <w:rPr>
          <w:rFonts w:ascii="Times New Roman" w:hAnsi="Times New Roman"/>
          <w:caps w:val="false"/>
          <w:smallCaps w:val="false"/>
          <w:sz w:val="20"/>
        </w:rPr>
        <w:t>  You acknowledge that your participation in the Plan and the grant of your consent is purely voluntary.  You may deny or withdraw your consent at any time.  If you do not consent, or if you withdraw your consent, you understand that this would not affect your salary as a Service provider or your career; you would not be able to participate in the Plan, however, and would forfeit the opportunities associated with the Plan.</w:t>
      </w:r>
    </w:p>
    <w:p>
      <w:pPr>
        <w:pStyle w:val="TextBody"/>
        <w:bidi w:val="0"/>
        <w:spacing w:before="0" w:after="0"/>
        <w:ind w:left="120" w:right="0" w:firstLine="1420"/>
        <w:jc w:val="left"/>
        <w:rPr>
          <w:caps w:val="false"/>
          <w:smallCaps w:val="false"/>
        </w:rPr>
      </w:pPr>
      <w:r>
        <w:rPr>
          <w:caps w:val="false"/>
          <w:smallCaps w:val="false"/>
        </w:rPr>
        <w:t> </w:t>
      </w:r>
    </w:p>
    <w:p>
      <w:pPr>
        <w:pStyle w:val="TextBody"/>
        <w:bidi w:val="0"/>
        <w:spacing w:before="0" w:after="0"/>
        <w:ind w:left="120" w:right="0" w:firstLine="1420"/>
        <w:jc w:val="left"/>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b/>
          <w:i/>
          <w:caps w:val="false"/>
          <w:smallCaps w:val="false"/>
          <w:sz w:val="20"/>
          <w:u w:val="single"/>
        </w:rPr>
        <w:t>Data Subject Rights</w:t>
      </w:r>
      <w:r>
        <w:rPr>
          <w:rFonts w:ascii="Times New Roman" w:hAnsi="Times New Roman"/>
          <w:caps w:val="false"/>
          <w:smallCaps w:val="false"/>
          <w:sz w:val="20"/>
        </w:rPr>
        <w:t>.  You may have a number of rights under data privacy laws in your jurisdiction.  Depending on where you are based, your rights may include the right to (i) request access or copies of personal data the Company’s processes, (ii) rectification of incorrect data, (iii) deletion of data, (iv) restrictions on processing, (v) portability of data, (vi) lodge complaints with competent authorities in your jurisdiction, and/or (vii) a list with the names and addresses of any potential recipients of your personal data.  To receive clarification regarding your rights or to exercise your rights, you should contact the Company by email at privacy@pdf.com or by writing at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b/>
          <w:i/>
          <w:caps w:val="false"/>
          <w:smallCaps w:val="false"/>
          <w:sz w:val="20"/>
        </w:rPr>
      </w:pPr>
      <w:r>
        <w:rPr>
          <w:rFonts w:ascii="Times New Roman" w:hAnsi="Times New Roman"/>
          <w:b/>
          <w:i/>
          <w:caps w:val="false"/>
          <w:smallCaps w:val="false"/>
          <w:sz w:val="20"/>
        </w:rPr>
        <w:t>PDF Solutions, Inc.</w:t>
      </w:r>
    </w:p>
    <w:p>
      <w:pPr>
        <w:pStyle w:val="TextBody"/>
        <w:bidi w:val="0"/>
        <w:spacing w:before="0" w:after="0"/>
        <w:ind w:left="1440" w:right="0" w:hanging="0"/>
        <w:jc w:val="both"/>
        <w:rPr>
          <w:rFonts w:ascii="Times New Roman" w:hAnsi="Times New Roman"/>
          <w:b/>
          <w:i/>
          <w:caps w:val="false"/>
          <w:smallCaps w:val="false"/>
          <w:sz w:val="20"/>
        </w:rPr>
      </w:pPr>
      <w:r>
        <w:rPr>
          <w:rFonts w:ascii="Times New Roman" w:hAnsi="Times New Roman"/>
          <w:b/>
          <w:i/>
          <w:caps w:val="false"/>
          <w:smallCaps w:val="false"/>
          <w:sz w:val="20"/>
        </w:rPr>
        <w:t>Attn: Legal Department</w:t>
      </w:r>
    </w:p>
    <w:p>
      <w:pPr>
        <w:pStyle w:val="TextBody"/>
        <w:bidi w:val="0"/>
        <w:spacing w:before="0" w:after="0"/>
        <w:ind w:left="1440" w:right="0" w:hanging="0"/>
        <w:jc w:val="both"/>
        <w:rPr>
          <w:rFonts w:ascii="Times New Roman" w:hAnsi="Times New Roman"/>
          <w:b/>
          <w:i/>
          <w:caps w:val="false"/>
          <w:smallCaps w:val="false"/>
          <w:sz w:val="20"/>
        </w:rPr>
      </w:pPr>
      <w:r>
        <w:rPr>
          <w:rFonts w:ascii="Times New Roman" w:hAnsi="Times New Roman"/>
          <w:b/>
          <w:i/>
          <w:caps w:val="false"/>
          <w:smallCaps w:val="false"/>
          <w:sz w:val="20"/>
        </w:rPr>
        <w:t>2858 De La Cruz Blvd</w:t>
      </w:r>
    </w:p>
    <w:p>
      <w:pPr>
        <w:pStyle w:val="TextBody"/>
        <w:bidi w:val="0"/>
        <w:spacing w:before="0" w:after="0"/>
        <w:ind w:left="1440" w:right="0" w:hanging="0"/>
        <w:jc w:val="left"/>
        <w:rPr>
          <w:rFonts w:ascii="Times New Roman" w:hAnsi="Times New Roman"/>
          <w:b/>
          <w:i/>
          <w:caps w:val="false"/>
          <w:smallCaps w:val="false"/>
          <w:sz w:val="20"/>
        </w:rPr>
      </w:pPr>
      <w:r>
        <w:rPr>
          <w:rFonts w:ascii="Times New Roman" w:hAnsi="Times New Roman"/>
          <w:b/>
          <w:i/>
          <w:caps w:val="false"/>
          <w:smallCaps w:val="false"/>
          <w:sz w:val="20"/>
        </w:rPr>
        <w:t>Santa Clara, CA 95050, USA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By typing “I agree” in the field on the www.etrade.com/enroll screen and clicking on the “CONTINUE” button, you acknowledge that you are also providing your consent to the data processing practices and the transfer of your personal data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14.    </w:t>
      </w:r>
      <w:r>
        <w:rPr>
          <w:rFonts w:ascii="Times New Roman" w:hAnsi="Times New Roman"/>
          <w:b/>
          <w:caps w:val="false"/>
          <w:smallCaps w:val="false"/>
          <w:sz w:val="20"/>
          <w:u w:val="single"/>
        </w:rPr>
        <w:t>Governing Law and Forum</w:t>
      </w:r>
      <w:r>
        <w:rPr>
          <w:rFonts w:ascii="Times New Roman" w:hAnsi="Times New Roman"/>
          <w:caps w:val="false"/>
          <w:smallCaps w:val="false"/>
          <w:sz w:val="20"/>
        </w:rPr>
        <w:t>. This PSU Agreement and all acts and transactions pursuant hereto and the rights and obligations of the parties hereto shall be governed, construed and interpreted in accordance with the laws of the State of California, without giving effect to principles of conflict of laws. For purposes of litigating any dispute that may arise directly or indirectly from this PSU Agreement, the parties hereby submit and consent to litigation in the exclusive jurisdiction of the State of California and agree that any such litigation shall be conducted only in the courts of California or the federal courts for the United States for the Northern District of California and no other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15.    </w:t>
      </w:r>
      <w:r>
        <w:rPr>
          <w:rFonts w:ascii="Times New Roman" w:hAnsi="Times New Roman"/>
          <w:b/>
          <w:caps w:val="false"/>
          <w:smallCaps w:val="false"/>
          <w:sz w:val="20"/>
          <w:u w:val="single"/>
        </w:rPr>
        <w:t>Entire Agreement; Enforcement of Rights</w:t>
      </w:r>
      <w:r>
        <w:rPr>
          <w:rFonts w:ascii="Times New Roman" w:hAnsi="Times New Roman"/>
          <w:caps w:val="false"/>
          <w:smallCaps w:val="false"/>
          <w:sz w:val="20"/>
        </w:rPr>
        <w:t>. This PSU Agreement, together with the Notice and the Plan, sets forth the entire agreement and understanding of the parties relating to the subject matter herein and therein and merges all prior or contemporaneous discussions between the parties. Except as contemplated under the Plan, no modification of or amendment to this PSU Agreement, nor any waiver of any rights under this PSU Agreement, shall be effective unless in writing signed by the parties to this PSU Agreement. The failure by either party to enforce any rights under this PSU Agreement shall not be construed as a waiver of any rights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16.    </w:t>
      </w:r>
      <w:r>
        <w:rPr>
          <w:rFonts w:ascii="Times New Roman" w:hAnsi="Times New Roman"/>
          <w:b/>
          <w:caps w:val="false"/>
          <w:smallCaps w:val="false"/>
          <w:sz w:val="20"/>
          <w:u w:val="single"/>
        </w:rPr>
        <w:t>Notices</w:t>
      </w:r>
      <w:r>
        <w:rPr>
          <w:rFonts w:ascii="Times New Roman" w:hAnsi="Times New Roman"/>
          <w:caps w:val="false"/>
          <w:smallCaps w:val="false"/>
          <w:sz w:val="20"/>
        </w:rPr>
        <w:t>. Any notice required or permitted under the terms of this PSU Agreement shall be in writing and shall be deemed sufficient when delivered personally or sent by confirmed email, telegram, or fax or forty-eight (48) hours after being deposited in the mail, as certified or registered mail, with postage prepaid, and addressed to the Company at the Company’s principal corporate offices or to you at the address maintained for you in the Company’s records or, in either case, as subsequently modified by written notice to the other party.</w:t>
      </w:r>
    </w:p>
    <w:p>
      <w:pPr>
        <w:pStyle w:val="TextBody"/>
        <w:bidi w:val="0"/>
        <w:spacing w:before="0" w:after="283"/>
        <w:jc w:val="left"/>
      </w:pPr>
      <w: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17.    </w:t>
      </w:r>
      <w:r>
        <w:rPr>
          <w:rFonts w:ascii="Times New Roman" w:hAnsi="Times New Roman"/>
          <w:b/>
          <w:caps w:val="false"/>
          <w:smallCaps w:val="false"/>
          <w:sz w:val="20"/>
          <w:u w:val="single"/>
        </w:rPr>
        <w:t>Binding Effect</w:t>
      </w:r>
      <w:r>
        <w:rPr>
          <w:rFonts w:ascii="Times New Roman" w:hAnsi="Times New Roman"/>
          <w:caps w:val="false"/>
          <w:smallCaps w:val="false"/>
          <w:sz w:val="20"/>
        </w:rPr>
        <w:t>. Subject to the limitations set forth in this PSU Agreement, this PSU Agreement shall be binding upon, and inure to the benefit of, the executors, administrators, heirs, legal representatives, successors, and assigns of the parties hereto.</w:t>
      </w:r>
    </w:p>
    <w:p>
      <w:pPr>
        <w:pStyle w:val="TextBody"/>
        <w:bidi w:val="0"/>
        <w:spacing w:before="0" w:after="283"/>
        <w:jc w:val="left"/>
      </w:pPr>
      <w: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18.    </w:t>
      </w:r>
      <w:r>
        <w:rPr>
          <w:rFonts w:ascii="Times New Roman" w:hAnsi="Times New Roman"/>
          <w:b/>
          <w:caps w:val="false"/>
          <w:smallCaps w:val="false"/>
          <w:sz w:val="20"/>
          <w:u w:val="single"/>
        </w:rPr>
        <w:t>Waiver</w:t>
      </w:r>
      <w:r>
        <w:rPr>
          <w:rFonts w:ascii="Times New Roman" w:hAnsi="Times New Roman"/>
          <w:caps w:val="false"/>
          <w:smallCaps w:val="false"/>
          <w:sz w:val="20"/>
        </w:rPr>
        <w:t>.  You acknowledge that a waiver by the Company of breach of any provision of this PSU Agreement will not operate or be construed as a waiver of any other provision of this PSU Agreement, or of any subsequent breach by you or any other participant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19.    </w:t>
      </w:r>
      <w:r>
        <w:rPr>
          <w:rFonts w:ascii="Times New Roman" w:hAnsi="Times New Roman"/>
          <w:b/>
          <w:caps w:val="false"/>
          <w:smallCaps w:val="false"/>
          <w:sz w:val="20"/>
          <w:u w:val="single"/>
        </w:rPr>
        <w:t>Severability</w:t>
      </w:r>
      <w:r>
        <w:rPr>
          <w:rFonts w:ascii="Times New Roman" w:hAnsi="Times New Roman"/>
          <w:caps w:val="false"/>
          <w:smallCaps w:val="false"/>
          <w:sz w:val="20"/>
        </w:rPr>
        <w:t>. If one or more provisions of this PSU Agreement are held to be unenforceable under applicable law, the parties agree to renegotiate such provision in good faith. In the event that the parties cannot reach a mutually agreeable and enforceable replacement for such provision, then (a) such provision shall be excluded from this PSU Agreement, (b) the balance of this PSU Agreement shall be interpreted as if such provision were so excluded and (c) the balance of this PSU Agreement shall be enforceable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20.    </w:t>
      </w:r>
      <w:r>
        <w:rPr>
          <w:rFonts w:ascii="Times New Roman" w:hAnsi="Times New Roman"/>
          <w:b/>
          <w:caps w:val="false"/>
          <w:smallCaps w:val="false"/>
          <w:sz w:val="20"/>
          <w:u w:val="single"/>
        </w:rPr>
        <w:t>Electronic Delivery and Participation</w:t>
      </w:r>
      <w:r>
        <w:rPr>
          <w:rFonts w:ascii="Times New Roman" w:hAnsi="Times New Roman"/>
          <w:caps w:val="false"/>
          <w:smallCaps w:val="false"/>
          <w:sz w:val="20"/>
        </w:rPr>
        <w:t>. The Company may, in its sole discretion, decide to deliver any documents related to your current or future participation in the Plan by electronic means or to request your consent to participate in the Plan by electronic means. You consent to receive such documents by electronic delivery and agree to participate in the Plan through an online or electronic system established and maintained by the Company or a third party designated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21.   </w:t>
      </w:r>
      <w:r>
        <w:rPr>
          <w:rFonts w:ascii="Times New Roman" w:hAnsi="Times New Roman"/>
          <w:b/>
          <w:caps w:val="false"/>
          <w:smallCaps w:val="false"/>
          <w:sz w:val="20"/>
          <w:u w:val="single"/>
        </w:rPr>
        <w:t>Language</w:t>
      </w:r>
      <w:r>
        <w:rPr>
          <w:rFonts w:ascii="Times New Roman" w:hAnsi="Times New Roman"/>
          <w:caps w:val="false"/>
          <w:smallCaps w:val="false"/>
          <w:sz w:val="20"/>
        </w:rPr>
        <w:t>. You acknowledge that you are sufficiently proficient in English, or have consulted with an advisor who is sufficiently proficient in English, so as to allow you to understand the terms and conditions of the Plan and this PSU Agreement, including the Appendix.  Furthermore, if you have received the Plan, this PSU Agreement, the Appendix or any other document related to the Plan translated into a language other than English and if the meaning of the translated version is different than the English version, the English version will control, unless otherwise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22.    </w:t>
      </w:r>
      <w:r>
        <w:rPr>
          <w:rFonts w:ascii="Times New Roman" w:hAnsi="Times New Roman"/>
          <w:b/>
          <w:caps w:val="false"/>
          <w:smallCaps w:val="false"/>
          <w:sz w:val="20"/>
          <w:u w:val="single"/>
        </w:rPr>
        <w:t>Country-Specific Provisions</w:t>
      </w:r>
      <w:r>
        <w:rPr>
          <w:rFonts w:ascii="Times New Roman" w:hAnsi="Times New Roman"/>
          <w:caps w:val="false"/>
          <w:smallCaps w:val="false"/>
          <w:sz w:val="20"/>
        </w:rPr>
        <w:t>. The Stock Units shall be subject to any applicable terms and conditions set forth in any Appendix. Moreover, if you transfer to one of the countries included in the Appendix, the terms and conditions for such country will apply to you, to the extent the Company determines that the application of such terms and conditions is necessary or advisable for legal or administrative reasons. The Appendix constitutes part of this PSU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23.    </w:t>
      </w:r>
      <w:r>
        <w:rPr>
          <w:rFonts w:ascii="Times New Roman" w:hAnsi="Times New Roman"/>
          <w:b/>
          <w:caps w:val="false"/>
          <w:smallCaps w:val="false"/>
          <w:sz w:val="20"/>
          <w:u w:val="single"/>
        </w:rPr>
        <w:t>Imposition of Other Requirements</w:t>
      </w:r>
      <w:r>
        <w:rPr>
          <w:rFonts w:ascii="Times New Roman" w:hAnsi="Times New Roman"/>
          <w:caps w:val="false"/>
          <w:smallCaps w:val="false"/>
          <w:sz w:val="20"/>
        </w:rPr>
        <w:t>. The Company reserves the right to impose other requirements on your participation in the Plan, on the Stock Units and on any Shares acquired under the Plan, to the extent the Company determines it is necessary or advisable for legal or administrative reasons, and to require you agree to sign any additional agreements or undertakings that may be necessary to accomplish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24.    </w:t>
      </w:r>
      <w:r>
        <w:rPr>
          <w:rFonts w:ascii="Times New Roman" w:hAnsi="Times New Roman"/>
          <w:b/>
          <w:caps w:val="false"/>
          <w:smallCaps w:val="false"/>
          <w:sz w:val="20"/>
          <w:u w:val="single"/>
        </w:rPr>
        <w:t>Insider Trading Restrictions/Market Abuse Laws</w:t>
      </w:r>
      <w:r>
        <w:rPr>
          <w:rFonts w:ascii="Times New Roman" w:hAnsi="Times New Roman"/>
          <w:caps w:val="false"/>
          <w:smallCaps w:val="false"/>
          <w:sz w:val="20"/>
        </w:rPr>
        <w:t>.  You acknowledge that you are subject to any applicable Company insider trading policy.  In addition, you acknowledge that you may be subject to additional insider trading restrictions and/or market abuse laws in applicable jurisdictions (including the United States and your country of residence), which may affect your ability to, directly or indirectly, acquire, sell, or attempt to sell Shares or rights to Shares during such times as you are considered to have “inside information” regarding the Company (as defined by the laws in the applicable jurisdictions).  You acknowledge that it is your responsibility to comply with any applicable Company insider trading policy and any additional restrictions that may apply due to any insider trading restrictions or market abuse laws.  You understand and agree that you should speak to your personal legal advisor regarding any applicable insider trading restrictions or market abuse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25.    </w:t>
      </w:r>
      <w:r>
        <w:rPr>
          <w:rFonts w:ascii="Times New Roman" w:hAnsi="Times New Roman"/>
          <w:b/>
          <w:caps w:val="false"/>
          <w:smallCaps w:val="false"/>
          <w:sz w:val="20"/>
          <w:u w:val="single"/>
        </w:rPr>
        <w:t>Foreign Asset/Account, Exchange Control and Tax Reporting</w:t>
      </w:r>
      <w:r>
        <w:rPr>
          <w:rFonts w:ascii="Times New Roman" w:hAnsi="Times New Roman"/>
          <w:caps w:val="false"/>
          <w:smallCaps w:val="false"/>
          <w:sz w:val="20"/>
        </w:rPr>
        <w:t>.  You acknowledge that you may be subject to foreign asset/account, exchange control and/or tax reporting requirements as a result of the acquisition, holding and/or transfer of Shares or cash (including dividends and the proceeds arising from the sale of Shares) derived from your participation in the Plan in, to and/or from a brokerage/bank account or legal entity located outside your country.  The applicable laws of your country may require that you report such accounts, assets, the balances therein, the value thereof and/or the transactions related thereto to the applicable authorities in such country.  You may also be required to repatriate sale proceeds or other funds received as a result of your participation in the Plan to your country through a designated broker or bank and/or within a certain time after receipt.  You acknowledge that you are responsible for ensuring compliance with any applicable foreign asset/account, exchange control and tax reporting requirements and should consult your personal adviser on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20"/>
        <w:jc w:val="left"/>
        <w:rPr>
          <w:rFonts w:ascii="Times New Roman" w:hAnsi="Times New Roman"/>
          <w:caps w:val="false"/>
          <w:smallCaps w:val="false"/>
          <w:sz w:val="20"/>
        </w:rPr>
      </w:pPr>
      <w:r>
        <w:rPr>
          <w:rFonts w:ascii="Times New Roman" w:hAnsi="Times New Roman"/>
          <w:caps w:val="false"/>
          <w:smallCaps w:val="false"/>
          <w:sz w:val="20"/>
        </w:rPr>
        <w:t>26.    </w:t>
      </w:r>
      <w:r>
        <w:rPr>
          <w:rFonts w:ascii="Times New Roman" w:hAnsi="Times New Roman"/>
          <w:b/>
          <w:caps w:val="false"/>
          <w:smallCaps w:val="false"/>
          <w:sz w:val="20"/>
          <w:u w:val="single"/>
        </w:rPr>
        <w:t>Compensation Recovery Policy</w:t>
      </w:r>
      <w:r>
        <w:rPr>
          <w:rFonts w:ascii="Times New Roman" w:hAnsi="Times New Roman"/>
          <w:caps w:val="false"/>
          <w:smallCaps w:val="false"/>
          <w:sz w:val="20"/>
        </w:rPr>
        <w:t>.  You acknowledge that this Award is subject to the Company's Compensation Recovery Policy which, to the extent applicable to you, has been provided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PLEASE PRINT AND KEEP A COPY FOR YOUR RECORDS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right"/>
        <w:rPr>
          <w:rFonts w:ascii="Times New Roman" w:hAnsi="Times New Roman"/>
          <w:b/>
          <w:caps w:val="false"/>
          <w:smallCaps w:val="false"/>
          <w:sz w:val="20"/>
        </w:rPr>
      </w:pPr>
      <w:bookmarkStart w:id="24" w:name="ex_1002250.htm"/>
      <w:bookmarkStart w:id="25" w:name="ksex_1002250"/>
      <w:bookmarkEnd w:id="24"/>
      <w:bookmarkEnd w:id="25"/>
      <w:r>
        <w:rPr>
          <w:rFonts w:ascii="Times New Roman" w:hAnsi="Times New Roman"/>
          <w:b/>
          <w:caps w:val="false"/>
          <w:smallCaps w:val="false"/>
          <w:sz w:val="20"/>
        </w:rPr>
        <w:t>Exhibit 31.01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John K. Kibarian,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PDF 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430" w:type="dxa"/>
        <w:jc w:val="left"/>
        <w:tblInd w:w="0" w:type="dxa"/>
        <w:tblLayout w:type="fixed"/>
        <w:tblCellMar>
          <w:top w:w="0" w:type="dxa"/>
          <w:left w:w="0" w:type="dxa"/>
          <w:bottom w:w="0" w:type="dxa"/>
          <w:right w:w="0" w:type="dxa"/>
        </w:tblCellMar>
      </w:tblPr>
      <w:tblGrid>
        <w:gridCol w:w="2000"/>
        <w:gridCol w:w="320"/>
        <w:gridCol w:w="3110"/>
      </w:tblGrid>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11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John K. Kibarian</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31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K. Kibarian</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311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President and Chief Executive Officer</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311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3110"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26" w:name="led714716F2025541749066410687"/>
            <w:bookmarkEnd w:id="26"/>
            <w:r>
              <w:rPr>
                <w:rFonts w:ascii="Times New Roman" w:hAnsi="Times New Roman"/>
                <w:caps w:val="false"/>
                <w:smallCaps w:val="false"/>
                <w:sz w:val="20"/>
              </w:rPr>
              <w:t>November 5, 2026</w:t>
            </w:r>
          </w:p>
        </w:tc>
        <w:tc>
          <w:tcPr>
            <w:tcW w:w="320" w:type="dxa"/>
            <w:tcBorders/>
            <w:vAlign w:val="center"/>
          </w:tcPr>
          <w:p>
            <w:pPr>
              <w:pStyle w:val="TableContents"/>
              <w:bidi w:val="0"/>
              <w:spacing w:before="0" w:after="283"/>
              <w:jc w:val="left"/>
            </w:pPr>
            <w:r>
              <w:t> </w:t>
            </w:r>
          </w:p>
        </w:tc>
        <w:tc>
          <w:tcPr>
            <w:tcW w:w="311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right"/>
        <w:rPr>
          <w:rFonts w:ascii="Times New Roman" w:hAnsi="Times New Roman"/>
          <w:b/>
          <w:caps w:val="false"/>
          <w:smallCaps w:val="false"/>
          <w:sz w:val="20"/>
        </w:rPr>
      </w:pPr>
      <w:bookmarkStart w:id="27" w:name="ex_1002251.htm"/>
      <w:bookmarkStart w:id="28" w:name="ksex_1002251"/>
      <w:bookmarkEnd w:id="27"/>
      <w:bookmarkEnd w:id="28"/>
      <w:r>
        <w:rPr>
          <w:rFonts w:ascii="Times New Roman" w:hAnsi="Times New Roman"/>
          <w:b/>
          <w:caps w:val="false"/>
          <w:smallCaps w:val="false"/>
          <w:sz w:val="20"/>
        </w:rPr>
        <w:t>Exhibit 31.02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Adnan Raza,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PDF 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40" w:type="dxa"/>
        <w:jc w:val="left"/>
        <w:tblInd w:w="0" w:type="dxa"/>
        <w:tblLayout w:type="fixed"/>
        <w:tblCellMar>
          <w:top w:w="0" w:type="dxa"/>
          <w:left w:w="0" w:type="dxa"/>
          <w:bottom w:w="0" w:type="dxa"/>
          <w:right w:w="0" w:type="dxa"/>
        </w:tblCellMar>
      </w:tblPr>
      <w:tblGrid>
        <w:gridCol w:w="2000"/>
        <w:gridCol w:w="320"/>
        <w:gridCol w:w="3020"/>
      </w:tblGrid>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02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Adnan Raza</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Adnan Raza</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302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Executive Vice President, Finance</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302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and Chief Financial Officer</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302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(principal financial and accounting </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302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officer)</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3020"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29" w:name="led714716F2025541749066449916"/>
            <w:bookmarkEnd w:id="29"/>
            <w:r>
              <w:rPr>
                <w:rFonts w:ascii="Times New Roman" w:hAnsi="Times New Roman"/>
                <w:caps w:val="false"/>
                <w:smallCaps w:val="false"/>
                <w:sz w:val="20"/>
              </w:rPr>
              <w:t>November 5, 2026</w:t>
            </w:r>
          </w:p>
        </w:tc>
        <w:tc>
          <w:tcPr>
            <w:tcW w:w="320" w:type="dxa"/>
            <w:tcBorders/>
            <w:vAlign w:val="center"/>
          </w:tcPr>
          <w:p>
            <w:pPr>
              <w:pStyle w:val="TableContents"/>
              <w:bidi w:val="0"/>
              <w:spacing w:before="0" w:after="283"/>
              <w:jc w:val="left"/>
            </w:pPr>
            <w:r>
              <w:t> </w:t>
            </w:r>
          </w:p>
        </w:tc>
        <w:tc>
          <w:tcPr>
            <w:tcW w:w="3020" w:type="dxa"/>
            <w:tcBorders/>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right"/>
        <w:rPr>
          <w:rFonts w:ascii="Times New Roman" w:hAnsi="Times New Roman"/>
          <w:b/>
          <w:caps w:val="false"/>
          <w:smallCaps w:val="false"/>
          <w:sz w:val="20"/>
        </w:rPr>
      </w:pPr>
      <w:bookmarkStart w:id="30" w:name="ex_1002252.htm"/>
      <w:bookmarkStart w:id="31" w:name="ksex_1002252"/>
      <w:bookmarkEnd w:id="30"/>
      <w:bookmarkEnd w:id="31"/>
      <w:r>
        <w:rPr>
          <w:rFonts w:ascii="Times New Roman" w:hAnsi="Times New Roman"/>
          <w:b/>
          <w:caps w:val="false"/>
          <w:smallCaps w:val="false"/>
          <w:sz w:val="20"/>
        </w:rPr>
        <w:t>Exhibit 32.01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of PDF Solutions, Inc. (the “Company”) on Form 10-Q for the quarter ended </w:t>
      </w:r>
      <w:bookmarkStart w:id="32" w:name="led714716F2025541749066485739"/>
      <w:bookmarkEnd w:id="32"/>
      <w:r>
        <w:rPr>
          <w:rFonts w:ascii="Times New Roman" w:hAnsi="Times New Roman"/>
          <w:caps w:val="false"/>
          <w:smallCaps w:val="false"/>
          <w:sz w:val="20"/>
        </w:rPr>
        <w:t xml:space="preserve">September 30, 2026, as filed with the Securities and Exchange Commission on </w:t>
      </w:r>
      <w:bookmarkStart w:id="33" w:name="led714716F2025541749066493361"/>
      <w:bookmarkEnd w:id="33"/>
      <w:r>
        <w:rPr>
          <w:rFonts w:ascii="Times New Roman" w:hAnsi="Times New Roman"/>
          <w:caps w:val="false"/>
          <w:smallCaps w:val="false"/>
          <w:sz w:val="20"/>
        </w:rPr>
        <w:t>November 5, 2026 (the “Report”), I, John K. Kibarian, President and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815" w:type="dxa"/>
        <w:jc w:val="left"/>
        <w:tblInd w:w="0" w:type="dxa"/>
        <w:tblLayout w:type="fixed"/>
        <w:tblCellMar>
          <w:top w:w="0" w:type="dxa"/>
          <w:left w:w="0" w:type="dxa"/>
          <w:bottom w:w="0" w:type="dxa"/>
          <w:right w:w="0" w:type="dxa"/>
        </w:tblCellMar>
      </w:tblPr>
      <w:tblGrid>
        <w:gridCol w:w="2000"/>
        <w:gridCol w:w="320"/>
        <w:gridCol w:w="2495"/>
      </w:tblGrid>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249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w:t>
            </w:r>
            <w:r>
              <w:rPr>
                <w:rFonts w:ascii="Times New Roman" w:hAnsi="Times New Roman"/>
                <w:caps w:val="false"/>
                <w:smallCaps w:val="false"/>
                <w:sz w:val="20"/>
              </w:rPr>
              <w:t> John K. Kibarian</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K. Kibarian</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249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President and Chief Executive</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249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Officer</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249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2495"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34" w:name="led714716F20255417490664933611"/>
            <w:bookmarkEnd w:id="34"/>
            <w:r>
              <w:rPr>
                <w:rFonts w:ascii="Times New Roman" w:hAnsi="Times New Roman"/>
                <w:caps w:val="false"/>
                <w:smallCaps w:val="false"/>
                <w:sz w:val="20"/>
              </w:rPr>
              <w:t>November 5, 2026</w:t>
            </w:r>
          </w:p>
        </w:tc>
        <w:tc>
          <w:tcPr>
            <w:tcW w:w="320" w:type="dxa"/>
            <w:tcBorders/>
            <w:vAlign w:val="center"/>
          </w:tcPr>
          <w:p>
            <w:pPr>
              <w:pStyle w:val="TableContents"/>
              <w:bidi w:val="0"/>
              <w:spacing w:before="0" w:after="283"/>
              <w:jc w:val="left"/>
            </w:pPr>
            <w:r>
              <w:t> </w:t>
            </w:r>
          </w:p>
        </w:tc>
        <w:tc>
          <w:tcPr>
            <w:tcW w:w="2495" w:type="dxa"/>
            <w:tcBorders/>
            <w:vAlign w:val="center"/>
          </w:tcPr>
          <w:p>
            <w:pPr>
              <w:pStyle w:val="TableContents"/>
              <w:bidi w:val="0"/>
              <w:spacing w:before="0" w:after="283"/>
              <w:jc w:val="left"/>
            </w:pPr>
            <w:r>
              <w:t> </w:t>
            </w:r>
          </w:p>
        </w:tc>
      </w:tr>
    </w:tbl>
    <w:p>
      <w:pPr>
        <w:pStyle w:val="TextBody"/>
        <w:bidi w:val="0"/>
        <w:spacing w:before="0" w:after="283"/>
        <w:jc w:val="left"/>
      </w:pPr>
      <w:r>
        <w:t> </w:t>
      </w:r>
    </w:p>
    <w:p>
      <w:pPr>
        <w:pStyle w:val="TextBody"/>
        <w:bidi w:val="0"/>
        <w:spacing w:before="0" w:after="0"/>
        <w:ind w:left="0" w:right="0" w:hanging="0"/>
        <w:jc w:val="right"/>
        <w:rPr>
          <w:rFonts w:ascii="Times New Roman" w:hAnsi="Times New Roman"/>
          <w:b/>
          <w:caps w:val="false"/>
          <w:smallCaps w:val="false"/>
          <w:sz w:val="20"/>
        </w:rPr>
      </w:pPr>
      <w:bookmarkStart w:id="35" w:name="ex_1002253.htm"/>
      <w:bookmarkStart w:id="36" w:name="ksex_1002253"/>
      <w:bookmarkEnd w:id="35"/>
      <w:bookmarkEnd w:id="36"/>
      <w:r>
        <w:rPr>
          <w:rFonts w:ascii="Times New Roman" w:hAnsi="Times New Roman"/>
          <w:b/>
          <w:caps w:val="false"/>
          <w:smallCaps w:val="false"/>
          <w:sz w:val="20"/>
        </w:rPr>
        <w:t>Exhibit 32.02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of PDF Solutions, Inc. (the “Company”) on Form 10-Q for the quarter ended </w:t>
      </w:r>
      <w:bookmarkStart w:id="37" w:name="led714716F2025541749066554836"/>
      <w:bookmarkEnd w:id="37"/>
      <w:r>
        <w:rPr>
          <w:rFonts w:ascii="Times New Roman" w:hAnsi="Times New Roman"/>
          <w:caps w:val="false"/>
          <w:smallCaps w:val="false"/>
          <w:sz w:val="20"/>
        </w:rPr>
        <w:t>September 30, 2026, as filed with the Securities and Exchange Commission on </w:t>
      </w:r>
      <w:bookmarkStart w:id="38" w:name="led714716F2025541749066562906"/>
      <w:bookmarkEnd w:id="38"/>
      <w:r>
        <w:rPr>
          <w:rFonts w:ascii="Times New Roman" w:hAnsi="Times New Roman"/>
          <w:caps w:val="false"/>
          <w:smallCaps w:val="false"/>
          <w:sz w:val="20"/>
        </w:rPr>
        <w:t>November 5, 2026 (the “Report”), I, Adnan Raza, Executive Vice President, Finance and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95" w:type="dxa"/>
        <w:jc w:val="left"/>
        <w:tblInd w:w="0" w:type="dxa"/>
        <w:tblLayout w:type="fixed"/>
        <w:tblCellMar>
          <w:top w:w="0" w:type="dxa"/>
          <w:left w:w="0" w:type="dxa"/>
          <w:bottom w:w="0" w:type="dxa"/>
          <w:right w:w="0" w:type="dxa"/>
        </w:tblCellMar>
      </w:tblPr>
      <w:tblGrid>
        <w:gridCol w:w="2000"/>
        <w:gridCol w:w="320"/>
        <w:gridCol w:w="2975"/>
      </w:tblGrid>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297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Adnan Raza</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2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Adnan Raza</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29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Executive Vice President, Finance</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29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and Chief Financial Officer</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29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and accounting</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29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officer)</w:t>
            </w:r>
          </w:p>
        </w:tc>
      </w:tr>
      <w:tr>
        <w:tc>
          <w:tcPr>
            <w:tcW w:w="200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2975" w:type="dxa"/>
            <w:tcBorders/>
            <w:vAlign w:val="center"/>
          </w:tcPr>
          <w:p>
            <w:pPr>
              <w:pStyle w:val="TableContents"/>
              <w:bidi w:val="0"/>
              <w:spacing w:before="0" w:after="283"/>
              <w:jc w:val="left"/>
            </w:pPr>
            <w:r>
              <w:t> </w:t>
            </w:r>
          </w:p>
        </w:tc>
      </w:tr>
      <w:tr>
        <w:tc>
          <w:tcPr>
            <w:tcW w:w="20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39" w:name="led714716F20255417490665629061"/>
            <w:bookmarkEnd w:id="39"/>
            <w:r>
              <w:rPr>
                <w:rFonts w:ascii="Times New Roman" w:hAnsi="Times New Roman"/>
                <w:caps w:val="false"/>
                <w:smallCaps w:val="false"/>
                <w:sz w:val="20"/>
              </w:rPr>
              <w:t>November 5, 2026</w:t>
            </w:r>
          </w:p>
        </w:tc>
        <w:tc>
          <w:tcPr>
            <w:tcW w:w="320" w:type="dxa"/>
            <w:tcBorders/>
            <w:vAlign w:val="center"/>
          </w:tcPr>
          <w:p>
            <w:pPr>
              <w:pStyle w:val="TableContents"/>
              <w:bidi w:val="0"/>
              <w:spacing w:before="0" w:after="283"/>
              <w:jc w:val="left"/>
            </w:pPr>
            <w:r>
              <w:t> </w:t>
            </w:r>
          </w:p>
        </w:tc>
        <w:tc>
          <w:tcPr>
            <w:tcW w:w="2975" w:type="dxa"/>
            <w:tcBorders/>
            <w:vAlign w:val="center"/>
          </w:tcPr>
          <w:p>
            <w:pPr>
              <w:pStyle w:val="TableContents"/>
              <w:bidi w:val="0"/>
              <w:spacing w:before="0" w:after="283"/>
              <w:jc w:val="left"/>
            </w:pPr>
            <w:r>
              <w:t> </w:t>
            </w:r>
          </w:p>
        </w:tc>
      </w:tr>
    </w:tbl>
    <w:p>
      <w:pPr>
        <w:pStyle w:val="TextBody"/>
        <w:bidi w:val="0"/>
        <w:spacing w:before="0" w:after="283"/>
        <w:jc w:val="left"/>
      </w:pPr>
      <w: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20914/000155837024011600/pdfs-20240630xex3d1.htm" TargetMode="External"/><Relationship Id="rId3" Type="http://schemas.openxmlformats.org/officeDocument/2006/relationships/hyperlink" Target="http://www.sec.gov/Archives/edgar/data/1120914/000143774919008420/ex_142508.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27276</Words>
  <Characters>150708</Characters>
  <CharactersWithSpaces>180465</CharactersWithSpaces>
  <Paragraphs>8021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